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行楷" w:eastAsia="华文行楷"/>
          <w:b/>
          <w:bCs/>
          <w:color w:val="FF0000"/>
          <w:sz w:val="52"/>
          <w:szCs w:val="52"/>
        </w:rPr>
      </w:pPr>
      <w:r>
        <w:rPr>
          <w:rFonts w:hint="eastAsia" w:ascii="华文行楷" w:eastAsia="华文行楷"/>
          <w:b/>
          <w:bCs/>
          <w:color w:val="BE8F00" w:themeColor="accent4" w:themeShade="BF"/>
          <w:sz w:val="52"/>
          <w:szCs w:val="52"/>
        </w:rPr>
        <w:t>金翅擘海，融贯中外</w:t>
      </w:r>
    </w:p>
    <w:p>
      <w:pPr>
        <w:jc w:val="center"/>
        <w:rPr>
          <w:rFonts w:ascii="微软雅黑" w:hAnsi="微软雅黑" w:eastAsia="微软雅黑"/>
          <w:b/>
          <w:bCs/>
          <w:sz w:val="28"/>
          <w:szCs w:val="28"/>
        </w:rPr>
      </w:pPr>
      <w:r>
        <w:rPr>
          <w:rFonts w:hint="eastAsia" w:ascii="微软雅黑" w:hAnsi="微软雅黑" w:eastAsia="微软雅黑"/>
          <w:b/>
          <w:bCs/>
          <w:sz w:val="28"/>
          <w:szCs w:val="28"/>
        </w:rPr>
        <w:t>中国人民大学-加拿大女王大学金融硕士项目招生简章（行业高管班）</w:t>
      </w:r>
    </w:p>
    <w:p>
      <w:pPr>
        <w:rPr>
          <w:b/>
          <w:bCs/>
          <w:sz w:val="30"/>
          <w:szCs w:val="30"/>
        </w:rPr>
      </w:pPr>
    </w:p>
    <w:p>
      <w:pPr>
        <w:rPr>
          <w:rFonts w:ascii="微软雅黑" w:hAnsi="微软雅黑" w:eastAsia="微软雅黑"/>
          <w:b/>
          <w:bCs/>
          <w:sz w:val="28"/>
          <w:szCs w:val="28"/>
        </w:rPr>
      </w:pPr>
      <w:r>
        <w:rPr>
          <w:rFonts w:hint="eastAsia" w:ascii="微软雅黑" w:hAnsi="微软雅黑" w:eastAsia="微软雅黑"/>
          <w:b/>
          <w:bCs/>
          <w:sz w:val="28"/>
          <w:szCs w:val="28"/>
        </w:rPr>
        <w:t>一．项目背景</w:t>
      </w:r>
    </w:p>
    <w:p>
      <w:pPr>
        <w:ind w:firstLine="560"/>
        <w:rPr>
          <w:rFonts w:ascii="微软雅黑" w:hAnsi="微软雅黑" w:eastAsia="微软雅黑"/>
          <w:sz w:val="24"/>
        </w:rPr>
      </w:pPr>
      <w:r>
        <w:rPr>
          <w:rFonts w:hint="eastAsia" w:ascii="微软雅黑" w:hAnsi="微软雅黑" w:eastAsia="微软雅黑"/>
          <w:color w:val="333333"/>
          <w:sz w:val="24"/>
        </w:rPr>
        <w:t>随着中国在世界经济格局影响力的不断增强</w:t>
      </w:r>
      <w:r>
        <w:rPr>
          <w:rFonts w:hint="eastAsia" w:ascii="微软雅黑" w:hAnsi="微软雅黑" w:eastAsia="微软雅黑"/>
          <w:sz w:val="24"/>
        </w:rPr>
        <w:t>，国内金融市场在全球化、自由化、工程化和资产证券化等方面得到了迅猛的发展。为了在新环境下保持和发展企业竞争优势，</w:t>
      </w:r>
      <w:r>
        <w:fldChar w:fldCharType="begin"/>
      </w:r>
      <w:r>
        <w:instrText xml:space="preserve"> HYPERLINK "http://www.hydcd.com/cy/htm3/ms3077.htm" </w:instrText>
      </w:r>
      <w:r>
        <w:fldChar w:fldCharType="separate"/>
      </w:r>
      <w:r>
        <w:rPr>
          <w:rFonts w:hint="eastAsia" w:ascii="微软雅黑" w:hAnsi="微软雅黑" w:eastAsia="微软雅黑"/>
          <w:sz w:val="24"/>
        </w:rPr>
        <w:t>明尚夙达</w:t>
      </w:r>
      <w:r>
        <w:rPr>
          <w:rFonts w:hint="eastAsia" w:ascii="微软雅黑" w:hAnsi="微软雅黑" w:eastAsia="微软雅黑"/>
          <w:sz w:val="24"/>
        </w:rPr>
        <w:fldChar w:fldCharType="end"/>
      </w:r>
      <w:r>
        <w:rPr>
          <w:rFonts w:hint="eastAsia" w:ascii="微软雅黑" w:hAnsi="微软雅黑" w:eastAsia="微软雅黑"/>
          <w:sz w:val="24"/>
        </w:rPr>
        <w:t>的经理人和企业管理者对学习金融相关业务的知识结构、管理方法、融入全球化发展战略产生了迫切的需求。</w:t>
      </w:r>
    </w:p>
    <w:p>
      <w:pPr>
        <w:ind w:firstLine="560"/>
        <w:rPr>
          <w:rFonts w:ascii="微软雅黑" w:hAnsi="微软雅黑" w:eastAsia="微软雅黑"/>
          <w:sz w:val="24"/>
        </w:rPr>
      </w:pPr>
      <w:r>
        <w:rPr>
          <w:rFonts w:hint="eastAsia" w:ascii="微软雅黑" w:hAnsi="微软雅黑" w:eastAsia="微软雅黑"/>
          <w:sz w:val="24"/>
        </w:rPr>
        <w:t>2013年，加拿大总督大卫.约翰斯顿访华期间，与习近平主席达成了加强中国和加拿大在金融、教育等行业合作与交流的共识。</w:t>
      </w:r>
    </w:p>
    <w:p>
      <w:pPr>
        <w:ind w:firstLine="560"/>
        <w:rPr>
          <w:rFonts w:ascii="微软雅黑" w:hAnsi="微软雅黑" w:eastAsia="微软雅黑"/>
          <w:sz w:val="24"/>
        </w:rPr>
      </w:pPr>
      <w:r>
        <w:rPr>
          <w:rFonts w:hint="eastAsia" w:ascii="微软雅黑" w:hAnsi="微软雅黑" w:eastAsia="微软雅黑"/>
          <w:sz w:val="24"/>
        </w:rPr>
        <w:t xml:space="preserve">2013年8月，由中国人民大学汉青经济与金融高级研究院与加拿大女王大学史密斯商学院联合举办的国际级金融硕士学位项目获得教育部批准，成为中国人民大学金融学科领域第一个获得教育部批准的中外合作办学项目。 </w:t>
      </w:r>
    </w:p>
    <w:p>
      <w:pPr>
        <w:ind w:firstLine="560"/>
        <w:rPr>
          <w:sz w:val="28"/>
          <w:szCs w:val="28"/>
        </w:rPr>
      </w:pPr>
      <w:r>
        <w:rPr>
          <w:rFonts w:hint="eastAsia"/>
          <w:sz w:val="28"/>
          <w:szCs w:val="28"/>
        </w:rPr>
        <w:drawing>
          <wp:anchor distT="0" distB="0" distL="114300" distR="114300" simplePos="0" relativeHeight="251655168" behindDoc="0" locked="0" layoutInCell="1" allowOverlap="1">
            <wp:simplePos x="0" y="0"/>
            <wp:positionH relativeFrom="column">
              <wp:posOffset>1381125</wp:posOffset>
            </wp:positionH>
            <wp:positionV relativeFrom="paragraph">
              <wp:posOffset>60960</wp:posOffset>
            </wp:positionV>
            <wp:extent cx="1647825" cy="2327910"/>
            <wp:effectExtent l="0" t="0" r="9525" b="15240"/>
            <wp:wrapSquare wrapText="bothSides"/>
            <wp:docPr id="6" name="图片 6" descr="SKMBT_28313090514560-p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KMBT_28313090514560-page-0"/>
                    <pic:cNvPicPr>
                      <a:picLocks noChangeAspect="1"/>
                    </pic:cNvPicPr>
                  </pic:nvPicPr>
                  <pic:blipFill>
                    <a:blip r:embed="rId4"/>
                    <a:stretch>
                      <a:fillRect/>
                    </a:stretch>
                  </pic:blipFill>
                  <pic:spPr>
                    <a:xfrm>
                      <a:off x="0" y="0"/>
                      <a:ext cx="1647825" cy="2327910"/>
                    </a:xfrm>
                    <a:prstGeom prst="rect">
                      <a:avLst/>
                    </a:prstGeom>
                  </pic:spPr>
                </pic:pic>
              </a:graphicData>
            </a:graphic>
          </wp:anchor>
        </w:drawing>
      </w:r>
      <w:r>
        <w:rPr>
          <w:rFonts w:hint="eastAsia"/>
          <w:sz w:val="28"/>
          <w:szCs w:val="28"/>
        </w:rPr>
        <w:drawing>
          <wp:anchor distT="0" distB="0" distL="114300" distR="114300" simplePos="0" relativeHeight="251654144" behindDoc="0" locked="0" layoutInCell="1" allowOverlap="1">
            <wp:simplePos x="0" y="0"/>
            <wp:positionH relativeFrom="column">
              <wp:posOffset>-299085</wp:posOffset>
            </wp:positionH>
            <wp:positionV relativeFrom="paragraph">
              <wp:posOffset>57150</wp:posOffset>
            </wp:positionV>
            <wp:extent cx="1860550" cy="2331085"/>
            <wp:effectExtent l="0" t="0" r="6350" b="12065"/>
            <wp:wrapSquare wrapText="bothSides"/>
            <wp:docPr id="4" name="图片 4" descr="page-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 (2)"/>
                    <pic:cNvPicPr>
                      <a:picLocks noChangeAspect="1"/>
                    </pic:cNvPicPr>
                  </pic:nvPicPr>
                  <pic:blipFill>
                    <a:blip r:embed="rId5"/>
                    <a:stretch>
                      <a:fillRect/>
                    </a:stretch>
                  </pic:blipFill>
                  <pic:spPr>
                    <a:xfrm>
                      <a:off x="0" y="0"/>
                      <a:ext cx="1860550" cy="2331085"/>
                    </a:xfrm>
                    <a:prstGeom prst="rect">
                      <a:avLst/>
                    </a:prstGeom>
                  </pic:spPr>
                </pic:pic>
              </a:graphicData>
            </a:graphic>
          </wp:anchor>
        </w:drawing>
      </w:r>
      <w:r>
        <w:rPr>
          <w:rFonts w:hint="eastAsia"/>
          <w:sz w:val="28"/>
          <w:szCs w:val="28"/>
        </w:rPr>
        <w:drawing>
          <wp:anchor distT="0" distB="0" distL="114300" distR="114300" simplePos="0" relativeHeight="251656192" behindDoc="0" locked="0" layoutInCell="1" allowOverlap="1">
            <wp:simplePos x="0" y="0"/>
            <wp:positionH relativeFrom="column">
              <wp:posOffset>3143250</wp:posOffset>
            </wp:positionH>
            <wp:positionV relativeFrom="paragraph">
              <wp:posOffset>51435</wp:posOffset>
            </wp:positionV>
            <wp:extent cx="2550160" cy="1802765"/>
            <wp:effectExtent l="0" t="0" r="2540" b="6985"/>
            <wp:wrapSquare wrapText="bothSides"/>
            <wp:docPr id="7" name="图片 7" descr="0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01 - 副本"/>
                    <pic:cNvPicPr>
                      <a:picLocks noChangeAspect="1"/>
                    </pic:cNvPicPr>
                  </pic:nvPicPr>
                  <pic:blipFill>
                    <a:blip r:embed="rId6"/>
                    <a:stretch>
                      <a:fillRect/>
                    </a:stretch>
                  </pic:blipFill>
                  <pic:spPr>
                    <a:xfrm>
                      <a:off x="0" y="0"/>
                      <a:ext cx="2550160" cy="1802765"/>
                    </a:xfrm>
                    <a:prstGeom prst="rect">
                      <a:avLst/>
                    </a:prstGeom>
                  </pic:spPr>
                </pic:pic>
              </a:graphicData>
            </a:graphic>
          </wp:anchor>
        </w:drawing>
      </w:r>
    </w:p>
    <w:p>
      <w:pPr>
        <w:rPr>
          <w:szCs w:val="21"/>
        </w:rPr>
      </w:pPr>
    </w:p>
    <w:p>
      <w:pPr>
        <w:rPr>
          <w:rFonts w:ascii="微软雅黑" w:hAnsi="微软雅黑" w:eastAsia="微软雅黑"/>
          <w:szCs w:val="21"/>
        </w:rPr>
      </w:pPr>
      <w:r>
        <w:rPr>
          <w:rFonts w:hint="eastAsia" w:ascii="微软雅黑" w:hAnsi="微软雅黑" w:eastAsia="微软雅黑"/>
          <w:szCs w:val="21"/>
        </w:rPr>
        <w:t xml:space="preserve">  图一                       图二                        图三  </w:t>
      </w:r>
    </w:p>
    <w:p>
      <w:pPr>
        <w:rPr>
          <w:rFonts w:ascii="微软雅黑" w:hAnsi="微软雅黑" w:eastAsia="微软雅黑"/>
          <w:sz w:val="28"/>
          <w:szCs w:val="28"/>
        </w:rPr>
      </w:pPr>
      <w:r>
        <w:rPr>
          <w:rFonts w:hint="eastAsia" w:ascii="微软雅黑" w:hAnsi="微软雅黑" w:eastAsia="微软雅黑"/>
          <w:szCs w:val="21"/>
        </w:rPr>
        <w:t xml:space="preserve">注： 图一和图二为教育部批准中国人民大学与加拿大女王大学合作举办金融硕士项目公文教外办学函2013（36）号，图三为中外合作办学项目批准书，编号：MOE11CA1A20131441N。 </w:t>
      </w:r>
    </w:p>
    <w:p>
      <w:pPr>
        <w:rPr>
          <w:sz w:val="28"/>
          <w:szCs w:val="28"/>
        </w:rPr>
      </w:pPr>
    </w:p>
    <w:p>
      <w:pPr>
        <w:ind w:firstLine="566" w:firstLineChars="236"/>
        <w:rPr>
          <w:rFonts w:ascii="微软雅黑" w:hAnsi="微软雅黑" w:eastAsia="微软雅黑"/>
          <w:sz w:val="24"/>
        </w:rPr>
      </w:pPr>
      <w:r>
        <w:rPr>
          <w:rFonts w:hint="eastAsia" w:ascii="微软雅黑" w:hAnsi="微软雅黑" w:eastAsia="微软雅黑"/>
          <w:sz w:val="24"/>
        </w:rPr>
        <w:t>2014年10月18日在签署合作意向书的仪式上，当时受习近平主席邀请访华的加拿大总督约翰斯顿、加拿大外交部部长约翰·贝尔德 、能源部部长乔·奥利弗，以及加拿大驻华大使赵朴出席并一起见证了这一过程。</w:t>
      </w:r>
    </w:p>
    <w:p>
      <w:pPr>
        <w:rPr>
          <w:color w:val="FF0000"/>
          <w:sz w:val="28"/>
          <w:szCs w:val="28"/>
        </w:rPr>
      </w:pPr>
      <w:r>
        <w:rPr>
          <w:rFonts w:hint="eastAsia"/>
          <w:color w:val="FF0000"/>
          <w:sz w:val="28"/>
          <w:szCs w:val="28"/>
        </w:rPr>
        <w:drawing>
          <wp:inline distT="0" distB="0" distL="114300" distR="114300">
            <wp:extent cx="4867910" cy="2467610"/>
            <wp:effectExtent l="0" t="0" r="8890" b="8890"/>
            <wp:docPr id="1" name="图片 1" descr="zong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ongdu2"/>
                    <pic:cNvPicPr>
                      <a:picLocks noChangeAspect="1"/>
                    </pic:cNvPicPr>
                  </pic:nvPicPr>
                  <pic:blipFill>
                    <a:blip r:embed="rId7"/>
                    <a:stretch>
                      <a:fillRect/>
                    </a:stretch>
                  </pic:blipFill>
                  <pic:spPr>
                    <a:xfrm>
                      <a:off x="0" y="0"/>
                      <a:ext cx="4867910" cy="2467610"/>
                    </a:xfrm>
                    <a:prstGeom prst="rect">
                      <a:avLst/>
                    </a:prstGeom>
                  </pic:spPr>
                </pic:pic>
              </a:graphicData>
            </a:graphic>
          </wp:inline>
        </w:drawing>
      </w:r>
    </w:p>
    <w:p>
      <w:pPr>
        <w:rPr>
          <w:rFonts w:ascii="微软雅黑" w:hAnsi="微软雅黑" w:eastAsia="微软雅黑"/>
          <w:sz w:val="18"/>
          <w:szCs w:val="18"/>
        </w:rPr>
      </w:pPr>
      <w:r>
        <w:rPr>
          <w:rFonts w:hint="eastAsia" w:ascii="微软雅黑" w:hAnsi="微软雅黑" w:eastAsia="微软雅黑"/>
          <w:sz w:val="18"/>
          <w:szCs w:val="18"/>
        </w:rPr>
        <w:t>参加签约仪式的有：加拿大女王大学中国代表处专员张志尧（前排左），汉青研究院院长助理邱志刚（前右一），中国人民大学与加拿大女王大学金融硕士项目负责人、 女王大学经济学博士戴田甜（左一），加拿大女王大学在中国地区招生负责人戴安娜.张（左二）， 加拿大外交部部长约翰·贝尔德（左三） 、加拿大现任总督大卫.约翰斯顿（右三），加拿大能源部部长乔·奥利弗（右二） ，以及加拿大驻华大使赵朴（右一）</w:t>
      </w:r>
    </w:p>
    <w:p>
      <w:pPr>
        <w:rPr>
          <w:color w:val="FF0000"/>
          <w:sz w:val="28"/>
          <w:szCs w:val="28"/>
        </w:rPr>
      </w:pPr>
      <w:r>
        <w:rPr>
          <w:sz w:val="28"/>
        </w:rPr>
        <w:pict>
          <v:shape id="_x0000_s1026" o:spid="_x0000_s1026" o:spt="202" type="#_x0000_t202" style="position:absolute;left:0pt;margin-left:-2.35pt;margin-top:23.65pt;height:241.1pt;width:226.5pt;z-index:251662336;mso-width-relative:page;mso-height-relative:page;" stroked="f" coordsize="21600,21600" o:gfxdata="UEsDBAoAAAAAAIdO4kAAAAAAAAAAAAAAAAAEAAAAZHJzL1BLAwQUAAAACACHTuJAy+5/ctgAAAAJ&#10;AQAADwAAAGRycy9kb3ducmV2LnhtbE2PwW7CMBBE75X6D9Yi9VKBQzEJhGyQWqlVr1A+YBMvSdTY&#10;jmJD4O/rntrbrGY087bY30wvrjz6zlmE5SIBwbZ2urMNwunrfb4B4QNZTb2zjHBnD/vy8aGgXLvJ&#10;Hvh6DI2IJdbnhNCGMORS+rplQ37hBrbRO7vRUIjn2Eg90hTLTS9fkiSVhjobF1oa+K3l+vt4MQjn&#10;z+l5vZ2qj3DKDip9pS6r3B3xabZMdiAC38JfGH7xIzqUkalyF6u96BHmKotJBJWtQERfqU0UFcI6&#10;3a5AloX8/0H5A1BLAwQUAAAACACHTuJAsNhbwsoBAABWAwAADgAAAGRycy9lMm9Eb2MueG1srVNB&#10;jtMwFN0jcQfLe5o0bdpS1R0JRmWDAGngAK7jJJZsf8v2NCkHgBuwYsOec/Uc8+12Zphhh8jCsf2f&#10;3//vfXtzNRpNDtIHBZbR6aSkRFoBjbIdo18+716tKAmR24ZrsJLRowz0avvyxWZwa1lBD7qRniCJ&#10;DevBMdrH6NZFEUQvDQ8TcNJisAVveMSl74rG8wHZjS6qslwUA/jGeRAyBNy9PgfpNvO3rRTxY9sG&#10;GYlmFGuLefR53Kex2G74uvPc9UpcyuD/UIXhymLSB6prHjm59eovKqOEhwBtnAgwBbStEjJrQDXT&#10;8pmam547mbWgOcE92BT+H634cPjkiWoYxUZZbrBFpx/fTz9/n359I1WyZ3Bhjagbh7g4voER23y/&#10;H3AzqR5bb9If9RCMzxbVclnXlBwZna/q6by8GC3HSAQCqtVyUdfYD4GI2Ww6X54RxSOV8yG+k2BI&#10;mjDqsZPZYH54HyKWhdB7SMocQKtmp7TOC9/t32pPDhy7vstfqhiPPIFpSwZGX9dVnZktpPNnnLYI&#10;T8rPCtMsjvvxYscemiO6gdceK+vBf6WEW4ETRiMlt86rrsdItimzYPNy+stFS7fjz3XO9fgct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L7n9y2AAAAAkBAAAPAAAAAAAAAAEAIAAAACIAAABkcnMv&#10;ZG93bnJldi54bWxQSwECFAAUAAAACACHTuJAsNhbwsoBAABWAwAADgAAAAAAAAABACAAAAAnAQAA&#10;ZHJzL2Uyb0RvYy54bWxQSwUGAAAAAAYABgBZAQAAYwUAAAAA&#10;">
            <v:path/>
            <v:fill focussize="0,0"/>
            <v:stroke on="f" joinstyle="miter"/>
            <v:imagedata o:title=""/>
            <o:lock v:ext="edit"/>
            <v:textbox>
              <w:txbxContent>
                <w:p>
                  <w:pPr>
                    <w:spacing w:line="360" w:lineRule="auto"/>
                    <w:ind w:firstLine="420"/>
                  </w:pPr>
                </w:p>
                <w:p>
                  <w:pPr>
                    <w:spacing w:line="360" w:lineRule="auto"/>
                    <w:rPr>
                      <w:rFonts w:ascii="微软雅黑" w:hAnsi="微软雅黑" w:eastAsia="微软雅黑"/>
                    </w:rPr>
                  </w:pPr>
                  <w:r>
                    <w:rPr>
                      <w:rFonts w:hint="eastAsia" w:ascii="微软雅黑" w:hAnsi="微软雅黑" w:eastAsia="微软雅黑"/>
                    </w:rPr>
                    <w:t>“我们非常高兴看到女王大学与中国人民大学建立起密切联系并共同举办这个合作项目……这是中国与加拿大两国学校合作开展的面向中国学生的世界级学为教育的实例。”</w:t>
                  </w:r>
                </w:p>
                <w:p>
                  <w:pPr>
                    <w:ind w:firstLine="420"/>
                  </w:pPr>
                </w:p>
                <w:p>
                  <w:pPr>
                    <w:ind w:firstLine="420"/>
                  </w:pPr>
                  <w:r>
                    <w:rPr>
                      <w:rFonts w:hint="eastAsia"/>
                    </w:rPr>
                    <w:drawing>
                      <wp:inline distT="0" distB="0" distL="114300" distR="114300">
                        <wp:extent cx="2297430" cy="693420"/>
                        <wp:effectExtent l="0" t="0" r="7620" b="11430"/>
                        <wp:docPr id="3" name="图片 3" descr="微信截图_20161209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61209102016"/>
                                <pic:cNvPicPr>
                                  <a:picLocks noChangeAspect="1"/>
                                </pic:cNvPicPr>
                              </pic:nvPicPr>
                              <pic:blipFill>
                                <a:blip r:embed="rId8"/>
                                <a:stretch>
                                  <a:fillRect/>
                                </a:stretch>
                              </pic:blipFill>
                              <pic:spPr>
                                <a:xfrm>
                                  <a:off x="0" y="0"/>
                                  <a:ext cx="2297430" cy="693420"/>
                                </a:xfrm>
                                <a:prstGeom prst="rect">
                                  <a:avLst/>
                                </a:prstGeom>
                              </pic:spPr>
                            </pic:pic>
                          </a:graphicData>
                        </a:graphic>
                      </wp:inline>
                    </w:drawing>
                  </w:r>
                </w:p>
              </w:txbxContent>
            </v:textbox>
          </v:shape>
        </w:pict>
      </w:r>
      <w:r>
        <w:rPr>
          <w:rFonts w:hint="eastAsia"/>
          <w:color w:val="FF0000"/>
          <w:sz w:val="28"/>
          <w:szCs w:val="28"/>
        </w:rPr>
        <w:drawing>
          <wp:anchor distT="0" distB="0" distL="114300" distR="114300" simplePos="0" relativeHeight="251653120" behindDoc="0" locked="0" layoutInCell="1" allowOverlap="1">
            <wp:simplePos x="0" y="0"/>
            <wp:positionH relativeFrom="column">
              <wp:posOffset>197485</wp:posOffset>
            </wp:positionH>
            <wp:positionV relativeFrom="paragraph">
              <wp:posOffset>307975</wp:posOffset>
            </wp:positionV>
            <wp:extent cx="1847215" cy="2586990"/>
            <wp:effectExtent l="0" t="0" r="635" b="3810"/>
            <wp:wrapSquare wrapText="bothSides"/>
            <wp:docPr id="2" name="图片 2" descr="2014041509550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0415095503860"/>
                    <pic:cNvPicPr>
                      <a:picLocks noChangeAspect="1"/>
                    </pic:cNvPicPr>
                  </pic:nvPicPr>
                  <pic:blipFill>
                    <a:blip r:embed="rId9"/>
                    <a:stretch>
                      <a:fillRect/>
                    </a:stretch>
                  </pic:blipFill>
                  <pic:spPr>
                    <a:xfrm>
                      <a:off x="0" y="0"/>
                      <a:ext cx="1847215" cy="2586990"/>
                    </a:xfrm>
                    <a:prstGeom prst="rect">
                      <a:avLst/>
                    </a:prstGeom>
                  </pic:spPr>
                </pic:pic>
              </a:graphicData>
            </a:graphic>
          </wp:anchor>
        </w:drawing>
      </w:r>
    </w:p>
    <w:p>
      <w:pPr>
        <w:rPr>
          <w:color w:val="FF0000"/>
          <w:sz w:val="28"/>
          <w:szCs w:val="28"/>
        </w:rPr>
      </w:pPr>
    </w:p>
    <w:p>
      <w:pPr>
        <w:rPr>
          <w:color w:val="FF0000"/>
          <w:sz w:val="28"/>
          <w:szCs w:val="28"/>
        </w:rPr>
      </w:pPr>
    </w:p>
    <w:p>
      <w:pPr>
        <w:rPr>
          <w:color w:val="FF0000"/>
          <w:sz w:val="28"/>
          <w:szCs w:val="28"/>
        </w:rPr>
      </w:pPr>
    </w:p>
    <w:p>
      <w:pPr>
        <w:rPr>
          <w:color w:val="FF0000"/>
          <w:sz w:val="28"/>
          <w:szCs w:val="28"/>
        </w:rPr>
      </w:pPr>
    </w:p>
    <w:p>
      <w:pPr>
        <w:rPr>
          <w:color w:val="FF0000"/>
          <w:sz w:val="28"/>
          <w:szCs w:val="28"/>
        </w:rPr>
      </w:pPr>
    </w:p>
    <w:p>
      <w:pPr>
        <w:rPr>
          <w:sz w:val="28"/>
          <w:szCs w:val="28"/>
        </w:rPr>
      </w:pPr>
    </w:p>
    <w:p>
      <w:pPr>
        <w:numPr>
          <w:ilvl w:val="0"/>
          <w:numId w:val="1"/>
        </w:numPr>
        <w:rPr>
          <w:rFonts w:ascii="微软雅黑" w:hAnsi="微软雅黑" w:eastAsia="微软雅黑"/>
          <w:b/>
          <w:bCs/>
          <w:sz w:val="28"/>
          <w:szCs w:val="28"/>
        </w:rPr>
      </w:pPr>
      <w:r>
        <w:rPr>
          <w:rFonts w:hint="eastAsia" w:ascii="微软雅黑" w:hAnsi="微软雅黑" w:eastAsia="微软雅黑"/>
          <w:b/>
          <w:bCs/>
          <w:sz w:val="28"/>
          <w:szCs w:val="28"/>
        </w:rPr>
        <w:t>合作院校介绍</w:t>
      </w:r>
    </w:p>
    <w:p>
      <w:pPr>
        <w:rPr>
          <w:b/>
          <w:bCs/>
          <w:sz w:val="28"/>
          <w:szCs w:val="28"/>
        </w:rPr>
      </w:pPr>
    </w:p>
    <w:p>
      <w:pPr>
        <w:pStyle w:val="6"/>
        <w:keepNext w:val="0"/>
        <w:keepLines w:val="0"/>
        <w:widowControl/>
        <w:suppressLineNumbers w:val="0"/>
        <w:spacing w:before="480" w:beforeAutospacing="0" w:after="480" w:afterAutospacing="0" w:line="435" w:lineRule="atLeast"/>
        <w:ind w:right="0"/>
        <w:rPr>
          <w:rFonts w:hint="eastAsia" w:ascii="微软雅黑" w:hAnsi="微软雅黑" w:eastAsia="微软雅黑"/>
          <w:sz w:val="24"/>
        </w:rPr>
      </w:pPr>
      <w:r>
        <w:rPr>
          <w:rFonts w:hint="eastAsia" w:ascii="微软雅黑" w:hAnsi="微软雅黑" w:eastAsia="微软雅黑" w:cstheme="minorBidi"/>
          <w:b/>
          <w:bCs/>
          <w:kern w:val="2"/>
          <w:sz w:val="28"/>
          <w:szCs w:val="28"/>
          <w:lang w:val="en-US" w:eastAsia="zh-CN" w:bidi="ar-SA"/>
        </w:rPr>
        <w:t xml:space="preserve">二．合作院校 </w:t>
      </w:r>
      <w:r>
        <w:rPr>
          <w:rFonts w:hint="eastAsia" w:ascii="微软雅黑" w:hAnsi="微软雅黑" w:eastAsia="微软雅黑"/>
          <w:sz w:val="24"/>
          <w:lang w:val="en-US" w:eastAsia="zh-CN"/>
        </w:rPr>
        <w:drawing>
          <wp:inline distT="0" distB="0" distL="114300" distR="114300">
            <wp:extent cx="5419725" cy="1009650"/>
            <wp:effectExtent l="0" t="0" r="9525"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10"/>
                    <a:stretch>
                      <a:fillRect/>
                    </a:stretch>
                  </pic:blipFill>
                  <pic:spPr>
                    <a:xfrm>
                      <a:off x="0" y="0"/>
                      <a:ext cx="5419725" cy="1009650"/>
                    </a:xfrm>
                    <a:prstGeom prst="rect">
                      <a:avLst/>
                    </a:prstGeom>
                    <a:noFill/>
                    <a:ln w="9525">
                      <a:noFill/>
                    </a:ln>
                  </pic:spPr>
                </pic:pic>
              </a:graphicData>
            </a:graphic>
          </wp:inline>
        </w:drawing>
      </w:r>
      <w:r>
        <w:rPr>
          <w:rFonts w:hint="eastAsia" w:ascii="微软雅黑" w:hAnsi="微软雅黑" w:eastAsia="微软雅黑"/>
          <w:sz w:val="24"/>
        </w:rPr>
        <w:t xml:space="preserve">中国人民大学（Renmin University of China，RUC）是国家人文社会学科的领头雁。在教育部学位评估中心2016年初公布的新一轮学科评估结果中，人民大学的金融学、理论经济学、应用经济学等九个学科排名全国第一，在人文社会科学领域位居全国高校之首。 </w:t>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 xml:space="preserve">汉青经济与金融高级研究院发挥中国人民大学在金融学和经济学研究领域的国内领先优势，在新体制下融会国际师资，借鉴国外研究与教学模式，办学理念兼具国际视野和本土情怀。全院教师均拥有哈佛、斯坦福、剑桥和女王大学等欧美顶尖学府的经济学或金融学博士学位，并聘请国内外具有影响力的政策制定者、金融行业领军人物建立了学院的业界导师库。汉青研究院毕业生也成功获得顶级金融机构、政府机关、大型国有企业以及知名外资企业的就业机会，其中包括：高盛公司，中金公司，瑞银证券，第一创业摩根大通，新天域资本，摩根士丹利资本国际，及各大银行总行等。优质校友资源不断壮大。 </w:t>
      </w:r>
    </w:p>
    <w:p>
      <w:pPr>
        <w:keepNext w:val="0"/>
        <w:keepLines w:val="0"/>
        <w:widowControl/>
        <w:suppressLineNumbers w:val="0"/>
        <w:pBdr>
          <w:top w:val="none" w:color="auto" w:sz="0" w:space="0"/>
          <w:bottom w:val="none" w:color="auto" w:sz="0" w:space="0"/>
        </w:pBdr>
        <w:spacing w:before="480" w:beforeAutospacing="0" w:after="480" w:afterAutospacing="0"/>
        <w:ind w:left="0" w:right="0"/>
        <w:jc w:val="center"/>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5429250" cy="676275"/>
            <wp:effectExtent l="0" t="0" r="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1"/>
                    <a:stretch>
                      <a:fillRect/>
                    </a:stretch>
                  </pic:blipFill>
                  <pic:spPr>
                    <a:xfrm>
                      <a:off x="0" y="0"/>
                      <a:ext cx="5429250" cy="676275"/>
                    </a:xfrm>
                    <a:prstGeom prst="rect">
                      <a:avLst/>
                    </a:prstGeom>
                    <a:noFill/>
                    <a:ln w="9525">
                      <a:noFill/>
                    </a:ln>
                  </pic:spPr>
                </pic:pic>
              </a:graphicData>
            </a:graphic>
          </wp:inline>
        </w:drawing>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 xml:space="preserve">女王大学于1841年由英国维多利亚女王授权创立于安大略省金斯顿市(Kingston， Canada)，是加拿大著名大学。 在过去二十年中，女王大学常年位居Mclean’s加拿大大学年度排名前三名之列，与麦基尔大学、多伦多大学共称“加拿大常春藤盟校”，在加拿大联邦政府以及政商两界有着广泛的校友网络。在Globe and Mail （《环球邮报》、加拿大第二大日报）公布的大学排名中，女王大学获得学生满意度第一，学校口碑第一，职业口碑第一，建筑与设施第一。女王大学商学院受到世界级评级机构的认可，其中包括美国的AACSB和欧洲的EQUIS体系。女王大学商学院还是加拿大第一所通过远程教学系统教授函授课程的学院。此外，学院还是CFA（特许金融分析师） 国际考试机构的会员单位，课程设置得到CFA官方授权和承认。自2010年起，女王大学商学院秉承高质量的办学风格在多伦多的“华尔街”Bay Street上开设金融硕士项目课程。 </w:t>
      </w:r>
    </w:p>
    <w:p>
      <w:pPr>
        <w:rPr>
          <w:rFonts w:ascii="微软雅黑" w:hAnsi="微软雅黑" w:eastAsia="微软雅黑"/>
          <w:b/>
          <w:bCs/>
          <w:sz w:val="28"/>
          <w:szCs w:val="28"/>
        </w:rPr>
      </w:pPr>
      <w:r>
        <w:rPr>
          <w:rFonts w:hint="eastAsia" w:ascii="微软雅黑" w:hAnsi="微软雅黑" w:eastAsia="微软雅黑" w:cs="微软雅黑"/>
          <w:color w:val="666666"/>
          <w:spacing w:val="15"/>
          <w:sz w:val="21"/>
          <w:szCs w:val="21"/>
        </w:rPr>
        <w:drawing>
          <wp:inline distT="0" distB="0" distL="114300" distR="114300">
            <wp:extent cx="5429250" cy="723900"/>
            <wp:effectExtent l="0" t="0" r="0" b="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2"/>
                    <a:stretch>
                      <a:fillRect/>
                    </a:stretch>
                  </pic:blipFill>
                  <pic:spPr>
                    <a:xfrm>
                      <a:off x="0" y="0"/>
                      <a:ext cx="5429250" cy="723900"/>
                    </a:xfrm>
                    <a:prstGeom prst="rect">
                      <a:avLst/>
                    </a:prstGeom>
                    <a:noFill/>
                    <a:ln w="9525">
                      <a:noFill/>
                    </a:ln>
                  </pic:spPr>
                </pic:pic>
              </a:graphicData>
            </a:graphic>
          </wp:inline>
        </w:drawing>
      </w:r>
      <w:r>
        <w:rPr>
          <w:rFonts w:hint="eastAsia" w:ascii="微软雅黑" w:hAnsi="微软雅黑" w:eastAsia="微软雅黑"/>
          <w:b/>
          <w:bCs/>
          <w:sz w:val="28"/>
          <w:szCs w:val="28"/>
          <w:lang w:val="en-US" w:eastAsia="zh-CN"/>
        </w:rPr>
        <w:t>三．</w:t>
      </w:r>
      <w:r>
        <w:rPr>
          <w:rFonts w:hint="eastAsia" w:ascii="微软雅黑" w:hAnsi="微软雅黑" w:eastAsia="微软雅黑"/>
          <w:b/>
          <w:bCs/>
          <w:sz w:val="28"/>
          <w:szCs w:val="28"/>
        </w:rPr>
        <w:t>项目特色</w:t>
      </w:r>
    </w:p>
    <w:p>
      <w:pPr>
        <w:numPr>
          <w:ilvl w:val="0"/>
          <w:numId w:val="2"/>
        </w:numPr>
        <w:rPr>
          <w:rFonts w:ascii="微软雅黑" w:hAnsi="微软雅黑" w:eastAsia="微软雅黑"/>
          <w:sz w:val="24"/>
        </w:rPr>
      </w:pPr>
      <w:r>
        <w:rPr>
          <w:rFonts w:hint="eastAsia" w:ascii="微软雅黑" w:hAnsi="微软雅黑" w:eastAsia="微软雅黑"/>
          <w:sz w:val="24"/>
        </w:rPr>
        <w:t>中加顶级金融行业教学资源，汉语授课，外教授课配助教翻译；</w:t>
      </w:r>
    </w:p>
    <w:p>
      <w:pPr>
        <w:numPr>
          <w:ilvl w:val="0"/>
          <w:numId w:val="2"/>
        </w:numPr>
        <w:rPr>
          <w:rFonts w:ascii="微软雅黑" w:hAnsi="微软雅黑" w:eastAsia="微软雅黑"/>
          <w:sz w:val="24"/>
        </w:rPr>
      </w:pPr>
      <w:r>
        <w:rPr>
          <w:rFonts w:hint="eastAsia" w:ascii="微软雅黑" w:hAnsi="微软雅黑" w:eastAsia="微软雅黑"/>
          <w:sz w:val="24"/>
        </w:rPr>
        <w:t>每月</w:t>
      </w:r>
      <w:r>
        <w:rPr>
          <w:rFonts w:hint="eastAsia" w:ascii="微软雅黑" w:hAnsi="微软雅黑" w:eastAsia="微软雅黑"/>
          <w:sz w:val="24"/>
          <w:lang w:val="en-US" w:eastAsia="zh-CN"/>
        </w:rPr>
        <w:t>两个周末授课</w:t>
      </w:r>
      <w:r>
        <w:rPr>
          <w:rFonts w:hint="eastAsia" w:ascii="微软雅黑" w:hAnsi="微软雅黑" w:eastAsia="微软雅黑"/>
          <w:sz w:val="24"/>
        </w:rPr>
        <w:t>，工作、学业齐头并进；</w:t>
      </w:r>
    </w:p>
    <w:p>
      <w:pPr>
        <w:numPr>
          <w:ilvl w:val="0"/>
          <w:numId w:val="2"/>
        </w:numPr>
        <w:rPr>
          <w:rFonts w:ascii="微软雅黑" w:hAnsi="微软雅黑" w:eastAsia="微软雅黑"/>
          <w:sz w:val="24"/>
        </w:rPr>
      </w:pPr>
      <w:r>
        <w:rPr>
          <w:rFonts w:hint="eastAsia" w:ascii="微软雅黑" w:hAnsi="微软雅黑" w:eastAsia="微软雅黑"/>
          <w:sz w:val="24"/>
        </w:rPr>
        <w:t>提供预科课程，助力跨专业进修；</w:t>
      </w:r>
    </w:p>
    <w:p>
      <w:pPr>
        <w:numPr>
          <w:ilvl w:val="0"/>
          <w:numId w:val="2"/>
        </w:numPr>
        <w:rPr>
          <w:rFonts w:ascii="微软雅黑" w:hAnsi="微软雅黑" w:eastAsia="微软雅黑"/>
          <w:sz w:val="24"/>
        </w:rPr>
      </w:pPr>
      <w:r>
        <w:rPr>
          <w:rFonts w:hint="eastAsia" w:ascii="微软雅黑" w:hAnsi="微软雅黑" w:eastAsia="微软雅黑"/>
          <w:sz w:val="24"/>
        </w:rPr>
        <w:t>高端管理人才汇聚，促进合作交流；</w:t>
      </w:r>
    </w:p>
    <w:p>
      <w:pPr>
        <w:numPr>
          <w:ilvl w:val="0"/>
          <w:numId w:val="2"/>
        </w:numPr>
        <w:rPr>
          <w:rFonts w:ascii="微软雅黑" w:hAnsi="微软雅黑" w:eastAsia="微软雅黑"/>
          <w:sz w:val="24"/>
        </w:rPr>
      </w:pPr>
      <w:r>
        <w:rPr>
          <w:rFonts w:hint="eastAsia" w:ascii="微软雅黑" w:hAnsi="微软雅黑" w:eastAsia="微软雅黑"/>
          <w:sz w:val="24"/>
        </w:rPr>
        <w:t>与行业最具影响力成功人士交流金融热点话题，通过海外游学和移动课堂提升金融管理实务感性认识，探索业务发展新契机</w:t>
      </w:r>
    </w:p>
    <w:p>
      <w:pPr>
        <w:rPr>
          <w:b/>
          <w:bCs/>
          <w:sz w:val="30"/>
          <w:szCs w:val="30"/>
        </w:rPr>
      </w:pPr>
    </w:p>
    <w:p>
      <w:pPr>
        <w:rPr>
          <w:rFonts w:ascii="微软雅黑" w:hAnsi="微软雅黑" w:eastAsia="微软雅黑"/>
          <w:b/>
          <w:bCs/>
          <w:sz w:val="28"/>
          <w:szCs w:val="28"/>
        </w:rPr>
      </w:pPr>
      <w:r>
        <w:rPr>
          <w:rFonts w:hint="eastAsia" w:ascii="微软雅黑" w:hAnsi="微软雅黑" w:eastAsia="微软雅黑"/>
          <w:b/>
          <w:bCs/>
          <w:sz w:val="28"/>
          <w:szCs w:val="28"/>
        </w:rPr>
        <w:t>四．课程设置</w:t>
      </w:r>
    </w:p>
    <w:p>
      <w:pPr>
        <w:ind w:left="420" w:hanging="420"/>
        <w:rPr>
          <w:rFonts w:ascii="微软雅黑" w:hAnsi="微软雅黑" w:eastAsia="微软雅黑"/>
          <w:b/>
          <w:bCs/>
          <w:sz w:val="24"/>
        </w:rPr>
      </w:pPr>
      <w:r>
        <w:rPr>
          <w:rFonts w:hint="eastAsia" w:ascii="微软雅黑" w:hAnsi="微软雅黑" w:eastAsia="微软雅黑"/>
          <w:b/>
          <w:bCs/>
          <w:sz w:val="24"/>
        </w:rPr>
        <w:t>模块一：全球化背景下的金融管理实务</w:t>
      </w:r>
    </w:p>
    <w:p>
      <w:pPr>
        <w:ind w:left="420" w:hanging="420"/>
        <w:rPr>
          <w:rFonts w:ascii="微软雅黑" w:hAnsi="微软雅黑" w:eastAsia="微软雅黑"/>
          <w:sz w:val="24"/>
        </w:rPr>
      </w:pPr>
      <w:r>
        <w:rPr>
          <w:rFonts w:hint="eastAsia" w:ascii="微软雅黑" w:hAnsi="微软雅黑" w:eastAsia="微软雅黑"/>
          <w:sz w:val="24"/>
        </w:rPr>
        <w:t>财务报表分析和公司金融</w:t>
      </w:r>
    </w:p>
    <w:p>
      <w:pPr>
        <w:ind w:left="420" w:hanging="420"/>
        <w:rPr>
          <w:rFonts w:ascii="微软雅黑" w:hAnsi="微软雅黑" w:eastAsia="微软雅黑"/>
          <w:sz w:val="24"/>
        </w:rPr>
      </w:pPr>
      <w:r>
        <w:rPr>
          <w:rFonts w:hint="eastAsia" w:ascii="微软雅黑" w:hAnsi="微软雅黑" w:eastAsia="微软雅黑"/>
          <w:sz w:val="24"/>
        </w:rPr>
        <w:t xml:space="preserve">风险以及投资组合管理 </w:t>
      </w:r>
    </w:p>
    <w:p>
      <w:pPr>
        <w:ind w:left="420" w:hanging="420"/>
        <w:rPr>
          <w:rFonts w:ascii="微软雅黑" w:hAnsi="微软雅黑" w:eastAsia="微软雅黑"/>
          <w:b/>
          <w:bCs/>
          <w:sz w:val="24"/>
        </w:rPr>
      </w:pPr>
      <w:r>
        <w:rPr>
          <w:rFonts w:hint="eastAsia" w:ascii="微软雅黑" w:hAnsi="微软雅黑" w:eastAsia="微软雅黑"/>
          <w:b/>
          <w:bCs/>
          <w:sz w:val="24"/>
        </w:rPr>
        <w:t>模块二：资本市场投资实践</w:t>
      </w:r>
    </w:p>
    <w:p>
      <w:pPr>
        <w:rPr>
          <w:rFonts w:ascii="微软雅黑" w:hAnsi="微软雅黑" w:eastAsia="微软雅黑"/>
          <w:sz w:val="24"/>
        </w:rPr>
      </w:pPr>
      <w:r>
        <w:rPr>
          <w:rFonts w:hint="eastAsia" w:ascii="微软雅黑" w:hAnsi="微软雅黑" w:eastAsia="微软雅黑"/>
          <w:sz w:val="24"/>
        </w:rPr>
        <w:t>对冲基金和交易策略</w:t>
      </w:r>
    </w:p>
    <w:p>
      <w:pPr>
        <w:rPr>
          <w:rFonts w:ascii="微软雅黑" w:hAnsi="微软雅黑" w:eastAsia="微软雅黑"/>
          <w:sz w:val="24"/>
        </w:rPr>
      </w:pPr>
      <w:r>
        <w:rPr>
          <w:rFonts w:hint="eastAsia" w:ascii="微软雅黑" w:hAnsi="微软雅黑" w:eastAsia="微软雅黑"/>
          <w:sz w:val="24"/>
        </w:rPr>
        <w:t>股票市场与分析</w:t>
      </w:r>
    </w:p>
    <w:p>
      <w:pPr>
        <w:rPr>
          <w:rFonts w:ascii="微软雅黑" w:hAnsi="微软雅黑" w:eastAsia="微软雅黑"/>
          <w:sz w:val="24"/>
        </w:rPr>
      </w:pPr>
      <w:r>
        <w:rPr>
          <w:rFonts w:hint="eastAsia" w:ascii="微软雅黑" w:hAnsi="微软雅黑" w:eastAsia="微软雅黑"/>
          <w:sz w:val="24"/>
        </w:rPr>
        <w:t>企业兼并与收购</w:t>
      </w:r>
    </w:p>
    <w:p>
      <w:pPr>
        <w:rPr>
          <w:rFonts w:ascii="微软雅黑" w:hAnsi="微软雅黑" w:eastAsia="微软雅黑"/>
          <w:sz w:val="24"/>
        </w:rPr>
      </w:pPr>
      <w:r>
        <w:rPr>
          <w:rFonts w:hint="eastAsia" w:ascii="微软雅黑" w:hAnsi="微软雅黑" w:eastAsia="微软雅黑"/>
          <w:sz w:val="24"/>
        </w:rPr>
        <w:t>互联网金融</w:t>
      </w:r>
    </w:p>
    <w:p>
      <w:pPr>
        <w:rPr>
          <w:rFonts w:ascii="微软雅黑" w:hAnsi="微软雅黑" w:eastAsia="微软雅黑"/>
          <w:b/>
          <w:bCs/>
          <w:sz w:val="24"/>
        </w:rPr>
      </w:pPr>
      <w:r>
        <w:rPr>
          <w:rFonts w:hint="eastAsia" w:ascii="微软雅黑" w:hAnsi="微软雅黑" w:eastAsia="微软雅黑"/>
          <w:b/>
          <w:bCs/>
          <w:sz w:val="24"/>
        </w:rPr>
        <w:t>模块三：综合领导力</w:t>
      </w:r>
    </w:p>
    <w:p>
      <w:pPr>
        <w:rPr>
          <w:rFonts w:ascii="微软雅黑" w:hAnsi="微软雅黑" w:eastAsia="微软雅黑"/>
          <w:sz w:val="24"/>
        </w:rPr>
      </w:pPr>
      <w:r>
        <w:rPr>
          <w:rFonts w:hint="eastAsia" w:ascii="微软雅黑" w:hAnsi="微软雅黑" w:eastAsia="微软雅黑"/>
          <w:sz w:val="24"/>
        </w:rPr>
        <w:t>领导艺术与沟通</w:t>
      </w:r>
    </w:p>
    <w:p>
      <w:pPr>
        <w:rPr>
          <w:rFonts w:ascii="微软雅黑" w:hAnsi="微软雅黑" w:eastAsia="微软雅黑"/>
          <w:sz w:val="24"/>
        </w:rPr>
      </w:pPr>
      <w:r>
        <w:rPr>
          <w:rFonts w:hint="eastAsia" w:ascii="微软雅黑" w:hAnsi="微软雅黑" w:eastAsia="微软雅黑"/>
          <w:sz w:val="24"/>
        </w:rPr>
        <w:t>压力管理与阳光心态</w:t>
      </w:r>
    </w:p>
    <w:p>
      <w:pPr>
        <w:rPr>
          <w:rFonts w:ascii="微软雅黑" w:hAnsi="微软雅黑" w:eastAsia="微软雅黑"/>
          <w:b/>
          <w:bCs/>
          <w:sz w:val="24"/>
        </w:rPr>
      </w:pPr>
      <w:r>
        <w:rPr>
          <w:rFonts w:hint="eastAsia" w:ascii="微软雅黑" w:hAnsi="微软雅黑" w:eastAsia="微软雅黑"/>
          <w:b/>
          <w:bCs/>
          <w:sz w:val="24"/>
        </w:rPr>
        <w:t>模块四：前沿热点话题讨论及政策解读</w:t>
      </w:r>
    </w:p>
    <w:p>
      <w:pPr>
        <w:rPr>
          <w:rFonts w:ascii="微软雅黑" w:hAnsi="微软雅黑" w:eastAsia="微软雅黑"/>
          <w:sz w:val="24"/>
        </w:rPr>
      </w:pPr>
      <w:r>
        <w:rPr>
          <w:rFonts w:hint="eastAsia" w:ascii="微软雅黑" w:hAnsi="微软雅黑" w:eastAsia="微软雅黑"/>
          <w:sz w:val="24"/>
        </w:rPr>
        <w:t>财富管理和资产配置</w:t>
      </w:r>
    </w:p>
    <w:p>
      <w:pPr>
        <w:rPr>
          <w:rFonts w:ascii="微软雅黑" w:hAnsi="微软雅黑" w:eastAsia="微软雅黑"/>
          <w:color w:val="C00000"/>
          <w:sz w:val="24"/>
        </w:rPr>
      </w:pPr>
      <w:r>
        <w:rPr>
          <w:rFonts w:hint="eastAsia" w:ascii="微软雅黑" w:hAnsi="微软雅黑" w:eastAsia="微软雅黑"/>
          <w:sz w:val="24"/>
        </w:rPr>
        <w:t>资产证券化</w:t>
      </w:r>
    </w:p>
    <w:p>
      <w:pPr>
        <w:rPr>
          <w:b/>
          <w:bCs/>
          <w:sz w:val="28"/>
          <w:szCs w:val="28"/>
        </w:rPr>
      </w:pPr>
    </w:p>
    <w:p>
      <w:pPr>
        <w:spacing w:line="360" w:lineRule="auto"/>
        <w:rPr>
          <w:rFonts w:ascii="微软雅黑" w:hAnsi="微软雅黑" w:eastAsia="微软雅黑"/>
          <w:b/>
          <w:bCs/>
          <w:sz w:val="24"/>
        </w:rPr>
      </w:pPr>
      <w:r>
        <w:rPr>
          <w:rFonts w:hint="eastAsia" w:ascii="微软雅黑" w:hAnsi="微软雅黑" w:eastAsia="微软雅黑"/>
          <w:b/>
          <w:bCs/>
          <w:sz w:val="24"/>
        </w:rPr>
        <w:t>注：以上课程为具有金融相关专业学习、从业背景，具有本科以上学历并通过申请资质审核的学员开放。</w:t>
      </w:r>
    </w:p>
    <w:p>
      <w:pPr>
        <w:pStyle w:val="6"/>
        <w:keepNext w:val="0"/>
        <w:keepLines w:val="0"/>
        <w:widowControl/>
        <w:suppressLineNumbers w:val="0"/>
        <w:spacing w:before="480" w:beforeAutospacing="0" w:after="480" w:afterAutospacing="0" w:line="435" w:lineRule="atLeast"/>
        <w:ind w:right="0"/>
        <w:rPr>
          <w:rFonts w:hint="eastAsia" w:ascii="微软雅黑" w:hAnsi="微软雅黑" w:eastAsia="微软雅黑" w:cstheme="minorBidi"/>
          <w:b/>
          <w:bCs/>
          <w:kern w:val="2"/>
          <w:sz w:val="28"/>
          <w:szCs w:val="28"/>
          <w:lang w:val="en-US" w:eastAsia="zh-CN" w:bidi="ar-SA"/>
        </w:rPr>
      </w:pPr>
      <w:r>
        <w:rPr>
          <w:rFonts w:hint="eastAsia" w:ascii="微软雅黑" w:hAnsi="微软雅黑" w:eastAsia="微软雅黑" w:cstheme="minorBidi"/>
          <w:b/>
          <w:bCs/>
          <w:kern w:val="2"/>
          <w:sz w:val="28"/>
          <w:szCs w:val="28"/>
          <w:lang w:val="en-US" w:eastAsia="zh-CN" w:bidi="ar-SA"/>
        </w:rPr>
        <w:t xml:space="preserve">五．部分师资团队介绍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部分中方师资介绍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扈企平 </w:t>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 xml:space="preserve">美国俄克拉荷马州立大学经济学博士，汉青经济与金融高级研究院客座教授。曾任标准普尔中国区总裁、纽约总部董事总经理及全球结构融资研究部负责人。在1997年6月加入标准普尔之前，扈博士曾经服务于Oppenheimer &amp; Co.,Inc.,担任住房贷款研究部门负责人，董事总经理； 在野村证券国际(纽约)( Nomura Securiities International)公司任住房贷款研究部门负责人，高级副总裁； 在雷曼兄弟(Lehman Brothers)公司任住房贷款研究部门负责人，执行副总裁； 在E.F. Hutton Inc.任住房贷款研究和发展战略部门负责人，高级副总裁； 在索罗门兄弟公司(Salomon Brother Inc)任副总裁。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邱志刚 </w:t>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中国人民大学汉青经济与金融高级研究院副教授，院长助理。邱志刚博士在东北财经大学取得学士学位，在利兹大学取得硕士学位，在伦敦政治经济学院取得硕士和博士学位。从2011起至今，任教于中国人民大学汉青研究院，为本科，硕士及博士讲授资产定价理论，金融风险分析及投资学等课程。他的研究兴趣包括代理投资组合管理，资产定价理论，互联网金融及资产证券化。邱志刚博士发表多篇国际期刊论文，并且以独立作者身份发表Journal of Financial and Quantitative Analysis。</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赵万里 </w:t>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 xml:space="preserve">美国天普大学企业管理学博士，中国人民大学汉青经济与金融高级研究院教授。 来到汉青研究院任职前，他在美国南伊利诺伊大学担任副教授。赵万里副教授曾讲授的课程包括财务管理、公司金融、财务分析和证券估值、风险评估与决策等课程。他的主要研究方向包括公司金融、内部交易、董事会、高管薪酬、财报质量、公司创新、和政府及官员影响 。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王鹤菲 </w:t>
      </w:r>
    </w:p>
    <w:p>
      <w:pPr>
        <w:numPr>
          <w:ilvl w:val="0"/>
          <w:numId w:val="0"/>
        </w:numPr>
        <w:rPr>
          <w:rFonts w:hint="eastAsia" w:ascii="微软雅黑" w:hAnsi="微软雅黑" w:eastAsia="微软雅黑"/>
          <w:sz w:val="24"/>
        </w:rPr>
      </w:pPr>
      <w:r>
        <w:rPr>
          <w:rFonts w:hint="eastAsia" w:ascii="微软雅黑" w:hAnsi="微软雅黑" w:eastAsia="微软雅黑"/>
          <w:sz w:val="24"/>
        </w:rPr>
        <w:t>中国人民大学汉青经济与金融高级研究院副教授，美国斯坦福大学金融学博士。曾在美国伊利诺伊大学芝加哥分校商学院任教。研究领域为公司财务理论、信息经济学、金融机构激励机制、资产组合理论、主权基金等。</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肖刚 </w:t>
      </w:r>
    </w:p>
    <w:p>
      <w:pPr>
        <w:numPr>
          <w:ilvl w:val="0"/>
          <w:numId w:val="0"/>
        </w:numPr>
        <w:rPr>
          <w:rFonts w:hint="eastAsia" w:ascii="微软雅黑" w:hAnsi="微软雅黑" w:eastAsia="微软雅黑"/>
          <w:sz w:val="24"/>
        </w:rPr>
      </w:pPr>
      <w:r>
        <w:rPr>
          <w:rFonts w:hint="eastAsia" w:ascii="微软雅黑" w:hAnsi="微软雅黑" w:eastAsia="微软雅黑"/>
          <w:sz w:val="24"/>
        </w:rPr>
        <w:t xml:space="preserve">美国南卡罗来纳大学金融学博士，汉青经济与金融高级研究院助理教授。研究领域涵盖公司金融，研发投资，股票收益，和银行学。他的研究为公司研发投资、市场有效性等领域提供了政策指引 </w:t>
      </w:r>
    </w:p>
    <w:p>
      <w:pPr>
        <w:numPr>
          <w:ilvl w:val="0"/>
          <w:numId w:val="0"/>
        </w:numPr>
        <w:ind w:leftChars="0"/>
        <w:rPr>
          <w:rFonts w:hint="eastAsia" w:ascii="微软雅黑" w:hAnsi="微软雅黑" w:eastAsia="微软雅黑"/>
          <w:b/>
          <w:bCs/>
          <w:sz w:val="28"/>
          <w:szCs w:val="28"/>
        </w:rPr>
      </w:pPr>
    </w:p>
    <w:p>
      <w:pPr>
        <w:numPr>
          <w:ilvl w:val="0"/>
          <w:numId w:val="0"/>
        </w:numPr>
        <w:ind w:leftChars="0"/>
        <w:rPr>
          <w:rFonts w:hint="eastAsia" w:ascii="微软雅黑" w:hAnsi="微软雅黑" w:eastAsia="微软雅黑"/>
          <w:b/>
          <w:bCs/>
          <w:sz w:val="28"/>
          <w:szCs w:val="28"/>
        </w:rPr>
      </w:pPr>
      <w:r>
        <w:rPr>
          <w:rFonts w:hint="eastAsia" w:ascii="微软雅黑" w:hAnsi="微软雅黑" w:eastAsia="微软雅黑"/>
          <w:b/>
          <w:bCs/>
          <w:sz w:val="28"/>
          <w:szCs w:val="28"/>
        </w:rPr>
        <w:t>部分加方师资介绍</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王炜Wei Wang </w:t>
      </w:r>
    </w:p>
    <w:p>
      <w:pPr>
        <w:numPr>
          <w:ilvl w:val="0"/>
          <w:numId w:val="0"/>
        </w:numPr>
        <w:rPr>
          <w:rFonts w:hint="eastAsia" w:ascii="微软雅黑" w:hAnsi="微软雅黑" w:eastAsia="微软雅黑"/>
          <w:sz w:val="24"/>
        </w:rPr>
      </w:pPr>
      <w:r>
        <w:rPr>
          <w:rFonts w:hint="eastAsia" w:ascii="微软雅黑" w:hAnsi="微软雅黑" w:eastAsia="微软雅黑"/>
          <w:sz w:val="24"/>
        </w:rPr>
        <w:t xml:space="preserve">女王大学史密斯商学院金融学副教授、金融学杰出研究员，中国人民大学-加拿大女王大学金融硕士项目加方主任。研究领域为破产重组，企业监管和信用风险。撰写多个哈佛金融案例，多次提名女王大学杰出教学奖。有丰富的股票与期货交易和金融风险管理的操作经验。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Tom Anger </w:t>
      </w:r>
    </w:p>
    <w:p>
      <w:pPr>
        <w:numPr>
          <w:ilvl w:val="0"/>
          <w:numId w:val="0"/>
        </w:numPr>
        <w:rPr>
          <w:rFonts w:hint="eastAsia" w:ascii="微软雅黑" w:hAnsi="微软雅黑" w:eastAsia="微软雅黑"/>
          <w:b/>
          <w:bCs/>
          <w:sz w:val="24"/>
        </w:rPr>
      </w:pPr>
      <w:r>
        <w:rPr>
          <w:rFonts w:hint="eastAsia" w:ascii="微软雅黑" w:hAnsi="微软雅黑" w:eastAsia="微软雅黑"/>
          <w:sz w:val="24"/>
        </w:rPr>
        <w:t xml:space="preserve">加拿大女王大学史密斯商学院MBA项目创始人，金融硕士项目（多伦多）项目负责人，本科教学负责人。具有30年以上MBA 、EMBA、金融学和会计教学经验。他教授的主要课程方向是财务管理和商业策划。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索吾林 Wulin Suo </w:t>
      </w:r>
    </w:p>
    <w:p>
      <w:pPr>
        <w:numPr>
          <w:ilvl w:val="0"/>
          <w:numId w:val="0"/>
        </w:numPr>
        <w:rPr>
          <w:rFonts w:hint="eastAsia" w:ascii="微软雅黑" w:hAnsi="微软雅黑" w:eastAsia="微软雅黑"/>
          <w:sz w:val="24"/>
        </w:rPr>
      </w:pPr>
      <w:r>
        <w:rPr>
          <w:rFonts w:hint="eastAsia" w:ascii="微软雅黑" w:hAnsi="微软雅黑" w:eastAsia="微软雅黑"/>
          <w:sz w:val="24"/>
        </w:rPr>
        <w:t xml:space="preserve">加拿大多伦多大学金融学博士，英属哥伦比亚大学应用数学博士 </w:t>
      </w:r>
    </w:p>
    <w:p>
      <w:pPr>
        <w:numPr>
          <w:ilvl w:val="0"/>
          <w:numId w:val="0"/>
        </w:numPr>
        <w:ind w:leftChars="0"/>
        <w:rPr>
          <w:rFonts w:hint="eastAsia" w:ascii="微软雅黑" w:hAnsi="微软雅黑" w:eastAsia="微软雅黑"/>
          <w:sz w:val="24"/>
        </w:rPr>
      </w:pPr>
      <w:r>
        <w:rPr>
          <w:rFonts w:hint="eastAsia" w:ascii="微软雅黑" w:hAnsi="微软雅黑" w:eastAsia="微软雅黑"/>
          <w:sz w:val="24"/>
        </w:rPr>
        <w:t xml:space="preserve">女王大学史密斯商学院副教授。曾在加拿大皇家银行风险管理部任职。研究领域为消费和资产组合理论，资产定价，衍生证券的评估，结构模型，信用风险和风险管理等。 </w:t>
      </w:r>
    </w:p>
    <w:p>
      <w:pPr>
        <w:numPr>
          <w:ilvl w:val="0"/>
          <w:numId w:val="0"/>
        </w:numPr>
        <w:ind w:leftChars="0"/>
        <w:rPr>
          <w:rFonts w:hint="eastAsia" w:ascii="微软雅黑" w:hAnsi="微软雅黑" w:eastAsia="微软雅黑"/>
          <w:b/>
          <w:bCs/>
          <w:sz w:val="24"/>
        </w:rPr>
      </w:pPr>
      <w:r>
        <w:rPr>
          <w:rFonts w:hint="eastAsia" w:ascii="微软雅黑" w:hAnsi="微软雅黑" w:eastAsia="微软雅黑"/>
          <w:b/>
          <w:bCs/>
          <w:sz w:val="24"/>
        </w:rPr>
        <w:t xml:space="preserve">Liang Zou (邹亮） </w:t>
      </w:r>
    </w:p>
    <w:p>
      <w:pPr>
        <w:numPr>
          <w:ilvl w:val="0"/>
          <w:numId w:val="0"/>
        </w:numPr>
        <w:ind w:leftChars="0" w:firstLine="240" w:firstLineChars="100"/>
        <w:rPr>
          <w:rFonts w:hint="eastAsia" w:ascii="微软雅黑" w:hAnsi="微软雅黑" w:eastAsia="微软雅黑"/>
          <w:sz w:val="24"/>
        </w:rPr>
      </w:pPr>
      <w:r>
        <w:rPr>
          <w:rFonts w:hint="eastAsia" w:ascii="微软雅黑" w:hAnsi="微软雅黑" w:eastAsia="微软雅黑"/>
          <w:sz w:val="24"/>
        </w:rPr>
        <w:t>鲁文天主教大学获得应用经济学博士，荷兰阿姆斯特丹大学金融学副教授，加拿大史密斯商学院客座教授。他的研究领域包括风险选择了理论、投资策略、风险管理、资产定价与绩效评估、代理理论、财务和激励合同、以及中国经济和金融转型。邹亮教授的研究在荷兰和比利时排名前40名的企业经济学家中位列第五，在荷兰排名前15位的金融经济学家中排名第3。</w:t>
      </w:r>
    </w:p>
    <w:p>
      <w:pPr>
        <w:numPr>
          <w:ilvl w:val="0"/>
          <w:numId w:val="0"/>
        </w:numPr>
        <w:rPr>
          <w:rFonts w:hint="eastAsia" w:ascii="微软雅黑" w:hAnsi="微软雅黑" w:eastAsia="微软雅黑"/>
          <w:b/>
          <w:bCs/>
          <w:sz w:val="24"/>
        </w:rPr>
      </w:pPr>
      <w:r>
        <w:rPr>
          <w:rFonts w:hint="eastAsia" w:ascii="微软雅黑" w:hAnsi="微软雅黑" w:eastAsia="微软雅黑"/>
          <w:b/>
          <w:bCs/>
          <w:sz w:val="24"/>
        </w:rPr>
        <w:t xml:space="preserve">Jean-Etienne de Bettignies </w:t>
      </w:r>
    </w:p>
    <w:p>
      <w:pPr>
        <w:numPr>
          <w:ilvl w:val="0"/>
          <w:numId w:val="0"/>
        </w:numPr>
        <w:rPr>
          <w:rFonts w:hint="eastAsia" w:ascii="微软雅黑" w:hAnsi="微软雅黑" w:eastAsia="微软雅黑"/>
          <w:sz w:val="24"/>
        </w:rPr>
      </w:pPr>
      <w:r>
        <w:rPr>
          <w:rFonts w:hint="eastAsia" w:ascii="微软雅黑" w:hAnsi="微软雅黑" w:eastAsia="微软雅黑"/>
          <w:sz w:val="24"/>
        </w:rPr>
        <w:t xml:space="preserve">芝加哥大学布斯商学院企业经济学和企业管理学博士，加拿大史密斯商学院教授、商业经济学杰出教授。他的研究检验合同理论在有组织的经济体、非市场策略、创业和产业组织中的应用。他的文章即将在顶级学术期刊上刊登，其中包括 Journal of Labor Economics; Management Science; Journal of Law, Economics and Organization; Journal of Industrial Economics; Journal of Economics and Management Strategy; 和International Journal of Industrial Organization。2014年Jean-Etienne de Bettignie教授获得了史密斯商学院颁发的杰出研究奖。 </w:t>
      </w:r>
    </w:p>
    <w:p>
      <w:pPr>
        <w:numPr>
          <w:ilvl w:val="0"/>
          <w:numId w:val="0"/>
        </w:numPr>
        <w:rPr>
          <w:rFonts w:ascii="微软雅黑" w:hAnsi="微软雅黑" w:eastAsia="微软雅黑"/>
          <w:b/>
          <w:bCs/>
          <w:sz w:val="28"/>
        </w:rPr>
      </w:pPr>
    </w:p>
    <w:p>
      <w:pPr>
        <w:numPr>
          <w:ilvl w:val="0"/>
          <w:numId w:val="3"/>
        </w:numPr>
        <w:rPr>
          <w:rFonts w:ascii="微软雅黑" w:hAnsi="微软雅黑" w:eastAsia="微软雅黑"/>
          <w:b/>
          <w:bCs/>
          <w:sz w:val="28"/>
        </w:rPr>
      </w:pPr>
      <w:r>
        <w:rPr>
          <w:rFonts w:hint="eastAsia" w:ascii="微软雅黑" w:hAnsi="微软雅黑" w:eastAsia="微软雅黑"/>
          <w:b/>
          <w:bCs/>
          <w:sz w:val="28"/>
        </w:rPr>
        <w:t>其它学员活动</w:t>
      </w:r>
    </w:p>
    <w:p>
      <w:pPr>
        <w:rPr>
          <w:rFonts w:ascii="微软雅黑" w:hAnsi="微软雅黑" w:eastAsia="微软雅黑"/>
          <w:b/>
          <w:bCs/>
          <w:sz w:val="24"/>
        </w:rPr>
      </w:pPr>
      <w:r>
        <w:rPr>
          <w:rFonts w:hint="eastAsia" w:ascii="微软雅黑" w:hAnsi="微软雅黑" w:eastAsia="微软雅黑"/>
          <w:b/>
          <w:bCs/>
          <w:sz w:val="24"/>
        </w:rPr>
        <w:t>选修/沙龙活动/移动课堂/游学</w:t>
      </w:r>
    </w:p>
    <w:p>
      <w:pPr>
        <w:rPr>
          <w:rFonts w:ascii="微软雅黑" w:hAnsi="微软雅黑" w:eastAsia="微软雅黑"/>
          <w:sz w:val="24"/>
        </w:rPr>
      </w:pPr>
      <w:r>
        <w:rPr>
          <w:rFonts w:hint="eastAsia" w:ascii="微软雅黑" w:hAnsi="微软雅黑" w:eastAsia="微软雅黑"/>
          <w:sz w:val="24"/>
        </w:rPr>
        <w:t>量化投资与对冲基金年会</w:t>
      </w:r>
    </w:p>
    <w:p>
      <w:pPr>
        <w:rPr>
          <w:rFonts w:ascii="微软雅黑" w:hAnsi="微软雅黑" w:eastAsia="微软雅黑"/>
          <w:sz w:val="24"/>
        </w:rPr>
      </w:pPr>
      <w:r>
        <w:rPr>
          <w:rFonts w:hint="eastAsia" w:ascii="微软雅黑" w:hAnsi="微软雅黑" w:eastAsia="微软雅黑"/>
          <w:sz w:val="24"/>
        </w:rPr>
        <w:t>学员企业参访</w:t>
      </w:r>
    </w:p>
    <w:p>
      <w:pPr>
        <w:rPr>
          <w:rFonts w:ascii="微软雅黑" w:hAnsi="微软雅黑" w:eastAsia="微软雅黑"/>
          <w:sz w:val="24"/>
        </w:rPr>
      </w:pPr>
      <w:r>
        <w:rPr>
          <w:rFonts w:hint="eastAsia" w:ascii="微软雅黑" w:hAnsi="微软雅黑" w:eastAsia="微软雅黑"/>
          <w:sz w:val="24"/>
        </w:rPr>
        <w:t>国际金融视野及资产配置全球通</w:t>
      </w:r>
    </w:p>
    <w:p>
      <w:pPr>
        <w:rPr>
          <w:rFonts w:ascii="微软雅黑" w:hAnsi="微软雅黑" w:eastAsia="微软雅黑"/>
          <w:sz w:val="24"/>
        </w:rPr>
      </w:pPr>
    </w:p>
    <w:p>
      <w:pPr>
        <w:pStyle w:val="14"/>
        <w:numPr>
          <w:ilvl w:val="0"/>
          <w:numId w:val="4"/>
        </w:numPr>
        <w:ind w:firstLineChars="0"/>
        <w:rPr>
          <w:rFonts w:ascii="微软雅黑" w:hAnsi="微软雅黑" w:eastAsia="微软雅黑"/>
          <w:b/>
          <w:bCs/>
          <w:sz w:val="28"/>
          <w:szCs w:val="28"/>
        </w:rPr>
      </w:pPr>
      <w:r>
        <w:rPr>
          <w:rFonts w:hint="eastAsia" w:ascii="微软雅黑" w:hAnsi="微软雅黑" w:eastAsia="微软雅黑"/>
          <w:b/>
          <w:bCs/>
          <w:sz w:val="28"/>
          <w:szCs w:val="28"/>
        </w:rPr>
        <w:t>招生对象</w:t>
      </w:r>
    </w:p>
    <w:p>
      <w:pPr>
        <w:ind w:firstLine="566" w:firstLineChars="236"/>
        <w:rPr>
          <w:rFonts w:ascii="微软雅黑" w:hAnsi="微软雅黑" w:eastAsia="微软雅黑"/>
          <w:sz w:val="24"/>
        </w:rPr>
      </w:pPr>
      <w:r>
        <w:rPr>
          <w:rFonts w:ascii="微软雅黑" w:hAnsi="微软雅黑" w:eastAsia="微软雅黑"/>
          <w:sz w:val="24"/>
        </w:rPr>
        <w:t>本科及以上学历，会计/金融/经济等商科专业，</w:t>
      </w:r>
      <w:r>
        <w:rPr>
          <w:rFonts w:hint="eastAsia" w:ascii="微软雅黑" w:hAnsi="微软雅黑" w:eastAsia="微软雅黑"/>
          <w:sz w:val="24"/>
        </w:rPr>
        <w:t>五年以上</w:t>
      </w:r>
      <w:r>
        <w:rPr>
          <w:rFonts w:ascii="微软雅黑" w:hAnsi="微软雅黑" w:eastAsia="微软雅黑"/>
          <w:sz w:val="24"/>
        </w:rPr>
        <w:t>工作经验（工作经验</w:t>
      </w:r>
      <w:r>
        <w:rPr>
          <w:rFonts w:hint="eastAsia" w:ascii="微软雅黑" w:hAnsi="微软雅黑" w:eastAsia="微软雅黑"/>
          <w:sz w:val="24"/>
        </w:rPr>
        <w:t>不足</w:t>
      </w:r>
      <w:r>
        <w:rPr>
          <w:rFonts w:ascii="微软雅黑" w:hAnsi="微软雅黑" w:eastAsia="微软雅黑"/>
          <w:sz w:val="24"/>
        </w:rPr>
        <w:t>的</w:t>
      </w:r>
      <w:r>
        <w:rPr>
          <w:rFonts w:hint="eastAsia" w:ascii="微软雅黑" w:hAnsi="微软雅黑" w:eastAsia="微软雅黑"/>
          <w:sz w:val="24"/>
        </w:rPr>
        <w:t>申请人</w:t>
      </w:r>
      <w:r>
        <w:rPr>
          <w:rFonts w:ascii="微软雅黑" w:hAnsi="微软雅黑" w:eastAsia="微软雅黑"/>
          <w:sz w:val="24"/>
        </w:rPr>
        <w:t>择优录取）；</w:t>
      </w:r>
    </w:p>
    <w:p>
      <w:pPr>
        <w:ind w:firstLine="567" w:firstLineChars="236"/>
        <w:rPr>
          <w:rFonts w:hint="eastAsia" w:ascii="微软雅黑" w:hAnsi="微软雅黑" w:eastAsia="微软雅黑"/>
          <w:b/>
          <w:bCs/>
          <w:sz w:val="24"/>
          <w:lang w:val="en-US" w:eastAsia="zh-CN"/>
        </w:rPr>
      </w:pPr>
    </w:p>
    <w:p>
      <w:pPr>
        <w:rPr>
          <w:rFonts w:hint="eastAsia" w:ascii="微软雅黑" w:hAnsi="微软雅黑" w:eastAsia="微软雅黑"/>
          <w:b/>
          <w:bCs/>
          <w:sz w:val="24"/>
        </w:rPr>
      </w:pPr>
      <w:r>
        <w:rPr>
          <w:rFonts w:hint="eastAsia" w:ascii="微软雅黑" w:hAnsi="微软雅黑" w:eastAsia="微软雅黑"/>
          <w:b/>
          <w:bCs/>
          <w:sz w:val="24"/>
          <w:lang w:val="en-US" w:eastAsia="zh-CN"/>
        </w:rPr>
        <w:t>前置</w:t>
      </w:r>
      <w:r>
        <w:rPr>
          <w:rFonts w:hint="eastAsia" w:ascii="微软雅黑" w:hAnsi="微软雅黑" w:eastAsia="微软雅黑"/>
          <w:b/>
          <w:bCs/>
          <w:sz w:val="24"/>
        </w:rPr>
        <w:t>课程</w:t>
      </w:r>
    </w:p>
    <w:p>
      <w:pPr>
        <w:rPr>
          <w:rFonts w:ascii="微软雅黑" w:hAnsi="微软雅黑" w:eastAsia="微软雅黑"/>
          <w:sz w:val="24"/>
        </w:rPr>
      </w:pPr>
      <w:r>
        <w:rPr>
          <w:rFonts w:hint="eastAsia" w:ascii="微软雅黑" w:hAnsi="微软雅黑" w:eastAsia="微软雅黑"/>
          <w:sz w:val="24"/>
        </w:rPr>
        <w:t>国际金融市场</w:t>
      </w:r>
    </w:p>
    <w:p>
      <w:pPr>
        <w:rPr>
          <w:rFonts w:ascii="微软雅黑" w:hAnsi="微软雅黑" w:eastAsia="微软雅黑"/>
          <w:sz w:val="24"/>
        </w:rPr>
      </w:pPr>
      <w:r>
        <w:rPr>
          <w:rFonts w:hint="eastAsia" w:ascii="微软雅黑" w:hAnsi="微软雅黑" w:eastAsia="微软雅黑"/>
          <w:sz w:val="24"/>
        </w:rPr>
        <w:t>经济学原理与案例分析方法</w:t>
      </w:r>
    </w:p>
    <w:p>
      <w:pPr>
        <w:rPr>
          <w:rFonts w:ascii="微软雅黑" w:hAnsi="微软雅黑" w:eastAsia="微软雅黑"/>
          <w:sz w:val="24"/>
        </w:rPr>
      </w:pPr>
      <w:r>
        <w:rPr>
          <w:rFonts w:hint="eastAsia" w:ascii="微软雅黑" w:hAnsi="微软雅黑" w:eastAsia="微软雅黑"/>
          <w:sz w:val="24"/>
        </w:rPr>
        <w:t>财务报表分析入门 （会计学）</w:t>
      </w:r>
    </w:p>
    <w:p>
      <w:pPr>
        <w:rPr>
          <w:rFonts w:ascii="微软雅黑" w:hAnsi="微软雅黑" w:eastAsia="微软雅黑"/>
          <w:b/>
          <w:bCs/>
          <w:sz w:val="24"/>
        </w:rPr>
      </w:pPr>
      <w:r>
        <w:rPr>
          <w:rFonts w:hint="eastAsia" w:ascii="微软雅黑" w:hAnsi="微软雅黑" w:eastAsia="微软雅黑"/>
          <w:sz w:val="24"/>
        </w:rPr>
        <w:t>统计学</w:t>
      </w:r>
    </w:p>
    <w:p>
      <w:pPr>
        <w:rPr>
          <w:rFonts w:ascii="微软雅黑" w:hAnsi="微软雅黑" w:eastAsia="微软雅黑"/>
          <w:sz w:val="24"/>
        </w:rPr>
      </w:pPr>
    </w:p>
    <w:p>
      <w:pPr>
        <w:rPr>
          <w:rFonts w:ascii="微软雅黑" w:hAnsi="微软雅黑" w:eastAsia="微软雅黑"/>
          <w:b/>
          <w:bCs/>
          <w:sz w:val="28"/>
        </w:rPr>
      </w:pPr>
      <w:r>
        <w:rPr>
          <w:rFonts w:hint="eastAsia" w:ascii="微软雅黑" w:hAnsi="微软雅黑" w:eastAsia="微软雅黑"/>
          <w:b/>
          <w:bCs/>
          <w:sz w:val="28"/>
        </w:rPr>
        <w:t>八．学制及学费</w:t>
      </w:r>
    </w:p>
    <w:p>
      <w:pPr>
        <w:ind w:firstLine="566" w:firstLineChars="236"/>
        <w:rPr>
          <w:rFonts w:ascii="微软雅黑" w:hAnsi="微软雅黑" w:eastAsia="微软雅黑"/>
          <w:sz w:val="24"/>
        </w:rPr>
      </w:pPr>
      <w:r>
        <w:rPr>
          <w:rFonts w:hint="eastAsia" w:ascii="微软雅黑" w:hAnsi="微软雅黑" w:eastAsia="微软雅黑"/>
          <w:sz w:val="24"/>
        </w:rPr>
        <w:t>金融硕士项目学制一年，每月两个周末授课（周六至周日）共30学分（共10门课，每门课3学分）。</w:t>
      </w:r>
    </w:p>
    <w:p>
      <w:pPr>
        <w:rPr>
          <w:rFonts w:ascii="微软雅黑" w:hAnsi="微软雅黑" w:eastAsia="微软雅黑"/>
          <w:sz w:val="24"/>
        </w:rPr>
      </w:pPr>
      <w:r>
        <w:rPr>
          <w:rFonts w:hint="eastAsia" w:ascii="微软雅黑" w:hAnsi="微软雅黑" w:eastAsia="微软雅黑"/>
          <w:sz w:val="24"/>
        </w:rPr>
        <w:t>项目学费共2</w:t>
      </w:r>
      <w:r>
        <w:rPr>
          <w:rFonts w:hint="eastAsia" w:ascii="微软雅黑" w:hAnsi="微软雅黑" w:eastAsia="微软雅黑"/>
          <w:sz w:val="24"/>
          <w:lang w:val="en-US" w:eastAsia="zh-CN"/>
        </w:rPr>
        <w:t>9</w:t>
      </w:r>
      <w:r>
        <w:rPr>
          <w:rFonts w:hint="eastAsia" w:ascii="微软雅黑" w:hAnsi="微软雅黑" w:eastAsia="微软雅黑"/>
          <w:sz w:val="24"/>
        </w:rPr>
        <w:t>8000元，含教材和上课材料费。</w:t>
      </w:r>
    </w:p>
    <w:p>
      <w:pPr>
        <w:numPr>
          <w:ilvl w:val="0"/>
          <w:numId w:val="5"/>
        </w:numPr>
        <w:rPr>
          <w:rFonts w:ascii="微软雅黑" w:hAnsi="微软雅黑" w:eastAsia="微软雅黑"/>
          <w:sz w:val="24"/>
        </w:rPr>
      </w:pPr>
      <w:r>
        <w:rPr>
          <w:rFonts w:hint="eastAsia" w:ascii="微软雅黑" w:hAnsi="微软雅黑" w:eastAsia="微软雅黑"/>
          <w:sz w:val="24"/>
        </w:rPr>
        <w:t>上课期间学员需自理食宿、交通费用。</w:t>
      </w:r>
    </w:p>
    <w:p>
      <w:pPr>
        <w:ind w:left="420"/>
        <w:rPr>
          <w:rFonts w:ascii="微软雅黑" w:hAnsi="微软雅黑" w:eastAsia="微软雅黑"/>
          <w:sz w:val="24"/>
        </w:rPr>
      </w:pPr>
    </w:p>
    <w:p>
      <w:pPr>
        <w:rPr>
          <w:rFonts w:hint="eastAsia" w:ascii="微软雅黑" w:hAnsi="微软雅黑" w:eastAsia="微软雅黑"/>
          <w:b/>
          <w:bCs/>
          <w:sz w:val="28"/>
        </w:rPr>
      </w:pPr>
      <w:r>
        <w:rPr>
          <w:rFonts w:hint="eastAsia" w:ascii="微软雅黑" w:hAnsi="微软雅黑" w:eastAsia="微软雅黑"/>
          <w:b/>
          <w:bCs/>
          <w:sz w:val="28"/>
        </w:rPr>
        <w:t>九、报名流程</w:t>
      </w:r>
    </w:p>
    <w:p>
      <w:pPr>
        <w:ind w:firstLine="566" w:firstLineChars="236"/>
        <w:rPr>
          <w:rFonts w:ascii="微软雅黑" w:hAnsi="微软雅黑" w:eastAsia="微软雅黑"/>
          <w:sz w:val="24"/>
        </w:rPr>
      </w:pPr>
      <w:r>
        <w:rPr>
          <w:rFonts w:hint="eastAsia" w:ascii="微软雅黑" w:hAnsi="微软雅黑" w:eastAsia="微软雅黑"/>
          <w:sz w:val="24"/>
        </w:rPr>
        <w:t>提交以下申请材料→→预约参加视频面试→→2-3周内告知申请结果</w:t>
      </w:r>
    </w:p>
    <w:p>
      <w:pPr>
        <w:rPr>
          <w:rFonts w:ascii="微软雅黑" w:hAnsi="微软雅黑" w:eastAsia="微软雅黑"/>
          <w:sz w:val="24"/>
        </w:rPr>
      </w:pPr>
      <w:r>
        <w:rPr>
          <w:rFonts w:hint="eastAsia" w:ascii="微软雅黑" w:hAnsi="微软雅黑" w:eastAsia="微软雅黑"/>
          <w:sz w:val="24"/>
        </w:rPr>
        <w:t>1.报名表</w:t>
      </w:r>
    </w:p>
    <w:p>
      <w:pPr>
        <w:rPr>
          <w:rFonts w:ascii="微软雅黑" w:hAnsi="微软雅黑" w:eastAsia="微软雅黑"/>
          <w:sz w:val="24"/>
        </w:rPr>
      </w:pPr>
      <w:r>
        <w:rPr>
          <w:rFonts w:hint="eastAsia" w:ascii="微软雅黑" w:hAnsi="微软雅黑" w:eastAsia="微软雅黑"/>
          <w:sz w:val="24"/>
        </w:rPr>
        <w:t>2.身份证正反面</w:t>
      </w:r>
    </w:p>
    <w:p>
      <w:pPr>
        <w:rPr>
          <w:rFonts w:ascii="微软雅黑" w:hAnsi="微软雅黑" w:eastAsia="微软雅黑"/>
          <w:sz w:val="24"/>
        </w:rPr>
      </w:pPr>
      <w:r>
        <w:rPr>
          <w:rFonts w:hint="eastAsia" w:ascii="微软雅黑" w:hAnsi="微软雅黑" w:eastAsia="微软雅黑"/>
          <w:sz w:val="24"/>
        </w:rPr>
        <w:t>3.最高学历学位复印件各一份，</w:t>
      </w:r>
      <w:r>
        <w:rPr>
          <w:rFonts w:ascii="微软雅黑" w:hAnsi="微软雅黑" w:eastAsia="微软雅黑" w:cs="微软雅黑"/>
          <w:color w:val="000000"/>
          <w:sz w:val="24"/>
          <w:shd w:val="clear" w:color="auto" w:fill="FFFFFF"/>
        </w:rPr>
        <w:t>学信网学籍信息备案表，有学位的需提供学位认证报告或大学成绩单。</w:t>
      </w:r>
    </w:p>
    <w:p>
      <w:pPr>
        <w:rPr>
          <w:rFonts w:ascii="微软雅黑" w:hAnsi="微软雅黑" w:eastAsia="微软雅黑"/>
          <w:sz w:val="24"/>
        </w:rPr>
      </w:pPr>
      <w:r>
        <w:rPr>
          <w:rFonts w:hint="eastAsia" w:ascii="微软雅黑" w:hAnsi="微软雅黑" w:eastAsia="微软雅黑"/>
          <w:sz w:val="24"/>
        </w:rPr>
        <w:t>4.推荐信2份（推荐人手写签字）</w:t>
      </w:r>
    </w:p>
    <w:p>
      <w:pPr>
        <w:rPr>
          <w:rFonts w:ascii="微软雅黑" w:hAnsi="微软雅黑" w:eastAsia="微软雅黑"/>
          <w:sz w:val="24"/>
        </w:rPr>
      </w:pPr>
      <w:r>
        <w:rPr>
          <w:rFonts w:hint="eastAsia" w:ascii="微软雅黑" w:hAnsi="微软雅黑" w:eastAsia="微软雅黑"/>
          <w:sz w:val="24"/>
        </w:rPr>
        <w:t>5.个人履历（请详细列出您在每个单位中任职的详细工作状况，特别要强调金融、管理方面的经验）</w:t>
      </w:r>
    </w:p>
    <w:p>
      <w:pPr>
        <w:rPr>
          <w:rFonts w:ascii="微软雅黑" w:hAnsi="微软雅黑" w:eastAsia="微软雅黑"/>
          <w:sz w:val="24"/>
        </w:rPr>
      </w:pPr>
      <w:r>
        <w:rPr>
          <w:rFonts w:hint="eastAsia" w:ascii="微软雅黑" w:hAnsi="微软雅黑" w:eastAsia="微软雅黑"/>
          <w:sz w:val="24"/>
        </w:rPr>
        <w:t>6.报名费1000元缴费凭证</w:t>
      </w:r>
    </w:p>
    <w:p>
      <w:pPr>
        <w:rPr>
          <w:rFonts w:ascii="微软雅黑" w:hAnsi="微软雅黑" w:eastAsia="微软雅黑"/>
          <w:b/>
          <w:bCs/>
          <w:sz w:val="28"/>
          <w:szCs w:val="28"/>
        </w:rPr>
      </w:pPr>
      <w:r>
        <w:rPr>
          <w:rFonts w:hint="eastAsia" w:ascii="微软雅黑" w:hAnsi="微软雅黑" w:eastAsia="微软雅黑"/>
          <w:b/>
          <w:bCs/>
          <w:sz w:val="28"/>
          <w:szCs w:val="28"/>
        </w:rPr>
        <w:t>十．颁发证书</w:t>
      </w:r>
    </w:p>
    <w:p>
      <w:pPr>
        <w:ind w:firstLine="566" w:firstLineChars="236"/>
        <w:rPr>
          <w:rFonts w:ascii="微软雅黑" w:hAnsi="微软雅黑" w:eastAsia="微软雅黑"/>
          <w:sz w:val="24"/>
        </w:rPr>
      </w:pPr>
      <w:r>
        <w:rPr>
          <w:rFonts w:hint="eastAsia" w:ascii="微软雅黑" w:hAnsi="微软雅黑" w:eastAsia="微软雅黑"/>
          <w:sz w:val="24"/>
        </w:rPr>
        <w:t>修满学分且符合毕业要求的学员将获得由中国人民大学颁发的结业证书（在中国人民大学的培训项目网站可查），以及由加拿大女王大学颁发的金融硕士学位证书，该证书全球认可，而且可在教育部留学服务中心进行中外合作办学学历认证。</w:t>
      </w:r>
    </w:p>
    <w:p>
      <w:pPr>
        <w:rPr>
          <w:sz w:val="30"/>
          <w:szCs w:val="30"/>
        </w:rPr>
      </w:pPr>
    </w:p>
    <w:p>
      <w:pPr>
        <w:jc w:val="center"/>
        <w:rPr>
          <w:sz w:val="30"/>
          <w:szCs w:val="30"/>
        </w:rPr>
      </w:pPr>
      <w:r>
        <w:rPr>
          <w:b/>
          <w:bCs/>
          <w:sz w:val="30"/>
          <w:szCs w:val="30"/>
        </w:rPr>
        <w:drawing>
          <wp:anchor distT="0" distB="0" distL="114300" distR="114300" simplePos="0" relativeHeight="251657216" behindDoc="0" locked="0" layoutInCell="1" allowOverlap="1">
            <wp:simplePos x="0" y="0"/>
            <wp:positionH relativeFrom="column">
              <wp:posOffset>209550</wp:posOffset>
            </wp:positionH>
            <wp:positionV relativeFrom="paragraph">
              <wp:posOffset>66040</wp:posOffset>
            </wp:positionV>
            <wp:extent cx="1987550" cy="2638425"/>
            <wp:effectExtent l="19050" t="0" r="0" b="0"/>
            <wp:wrapSquare wrapText="bothSides"/>
            <wp:docPr id="10" name="图片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ntitled]"/>
                    <pic:cNvPicPr>
                      <a:picLocks noChangeAspect="1"/>
                    </pic:cNvPicPr>
                  </pic:nvPicPr>
                  <pic:blipFill>
                    <a:blip r:embed="rId13"/>
                    <a:stretch>
                      <a:fillRect/>
                    </a:stretch>
                  </pic:blipFill>
                  <pic:spPr>
                    <a:xfrm>
                      <a:off x="0" y="0"/>
                      <a:ext cx="1987550" cy="2638425"/>
                    </a:xfrm>
                    <a:prstGeom prst="rect">
                      <a:avLst/>
                    </a:prstGeom>
                  </pic:spPr>
                </pic:pic>
              </a:graphicData>
            </a:graphic>
          </wp:anchor>
        </w:drawing>
      </w:r>
      <w:r>
        <w:rPr>
          <w:b/>
          <w:bCs/>
          <w:sz w:val="30"/>
          <w:szCs w:val="30"/>
        </w:rPr>
        <w:drawing>
          <wp:inline distT="0" distB="0" distL="0" distR="0">
            <wp:extent cx="1981200" cy="2748280"/>
            <wp:effectExtent l="19050" t="0" r="0" b="0"/>
            <wp:docPr id="12" name="图片 4" descr="QQ图片2016121519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QQ图片20161215195557.jpg"/>
                    <pic:cNvPicPr>
                      <a:picLocks noChangeAspect="1"/>
                    </pic:cNvPicPr>
                  </pic:nvPicPr>
                  <pic:blipFill>
                    <a:blip r:embed="rId14" cstate="print"/>
                    <a:stretch>
                      <a:fillRect/>
                    </a:stretch>
                  </pic:blipFill>
                  <pic:spPr>
                    <a:xfrm>
                      <a:off x="0" y="0"/>
                      <a:ext cx="1990337" cy="2761295"/>
                    </a:xfrm>
                    <a:prstGeom prst="rect">
                      <a:avLst/>
                    </a:prstGeom>
                  </pic:spPr>
                </pic:pic>
              </a:graphicData>
            </a:graphic>
          </wp:inline>
        </w:drawing>
      </w:r>
    </w:p>
    <w:p>
      <w:pPr>
        <w:rPr>
          <w:rFonts w:ascii="微软雅黑" w:hAnsi="微软雅黑" w:eastAsia="微软雅黑"/>
          <w:b/>
          <w:bCs/>
          <w:sz w:val="32"/>
          <w:szCs w:val="30"/>
        </w:rPr>
      </w:pPr>
    </w:p>
    <w:p>
      <w:pPr>
        <w:rPr>
          <w:rFonts w:ascii="微软雅黑" w:hAnsi="微软雅黑" w:eastAsia="微软雅黑"/>
          <w:b/>
          <w:bCs/>
          <w:sz w:val="32"/>
          <w:szCs w:val="30"/>
        </w:rPr>
      </w:pPr>
      <w:r>
        <w:rPr>
          <w:rFonts w:hint="eastAsia" w:ascii="微软雅黑" w:hAnsi="微软雅黑" w:eastAsia="微软雅黑"/>
          <w:b/>
          <w:bCs/>
          <w:sz w:val="32"/>
          <w:szCs w:val="30"/>
        </w:rPr>
        <w:t>十一．</w:t>
      </w:r>
      <w:r>
        <w:rPr>
          <w:rFonts w:hint="eastAsia" w:ascii="微软雅黑" w:hAnsi="微软雅黑" w:eastAsia="微软雅黑"/>
          <w:b/>
          <w:bCs/>
          <w:sz w:val="28"/>
        </w:rPr>
        <w:t>毕业典礼</w:t>
      </w:r>
    </w:p>
    <w:p>
      <w:pPr>
        <w:ind w:firstLine="566" w:firstLineChars="236"/>
        <w:rPr>
          <w:rFonts w:ascii="微软雅黑" w:hAnsi="微软雅黑" w:eastAsia="微软雅黑"/>
          <w:sz w:val="24"/>
        </w:rPr>
      </w:pPr>
      <w:r>
        <w:rPr>
          <w:rFonts w:hint="eastAsia" w:ascii="微软雅黑" w:hAnsi="微软雅黑" w:eastAsia="微软雅黑"/>
          <w:sz w:val="24"/>
        </w:rPr>
        <w:t>项目每年将在人民大学和女王大学举行毕业典礼，学员可根据自身情况选择参加。校方将负责协助有意向的学员办理赴加拿大参加毕业典礼的签证手续相关事宜。</w:t>
      </w:r>
    </w:p>
    <w:p>
      <w:pPr>
        <w:rPr>
          <w:rFonts w:ascii="微软雅黑" w:hAnsi="微软雅黑" w:eastAsia="微软雅黑"/>
          <w:b/>
          <w:sz w:val="24"/>
        </w:rPr>
      </w:pPr>
      <w:r>
        <w:rPr>
          <w:rFonts w:hint="eastAsia" w:ascii="微软雅黑" w:hAnsi="微软雅黑" w:eastAsia="微软雅黑"/>
          <w:sz w:val="24"/>
        </w:rPr>
        <w:drawing>
          <wp:anchor distT="0" distB="0" distL="114300" distR="114300" simplePos="0" relativeHeight="251660288" behindDoc="0" locked="0" layoutInCell="1" allowOverlap="1">
            <wp:simplePos x="0" y="0"/>
            <wp:positionH relativeFrom="column">
              <wp:posOffset>581025</wp:posOffset>
            </wp:positionH>
            <wp:positionV relativeFrom="paragraph">
              <wp:posOffset>15240</wp:posOffset>
            </wp:positionV>
            <wp:extent cx="3378835" cy="1993900"/>
            <wp:effectExtent l="0" t="0" r="12065" b="6350"/>
            <wp:wrapSquare wrapText="bothSides"/>
            <wp:docPr id="9" name="图片 9" descr="bfca8c86gw1f9wnzbxpepj20rs0ijq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ca8c86gw1f9wnzbxpepj20rs0ijqae"/>
                    <pic:cNvPicPr>
                      <a:picLocks noChangeAspect="1"/>
                    </pic:cNvPicPr>
                  </pic:nvPicPr>
                  <pic:blipFill>
                    <a:blip r:embed="rId15"/>
                    <a:stretch>
                      <a:fillRect/>
                    </a:stretch>
                  </pic:blipFill>
                  <pic:spPr>
                    <a:xfrm>
                      <a:off x="0" y="0"/>
                      <a:ext cx="3378835" cy="1993900"/>
                    </a:xfrm>
                    <a:prstGeom prst="rect">
                      <a:avLst/>
                    </a:prstGeom>
                  </pic:spPr>
                </pic:pic>
              </a:graphicData>
            </a:graphic>
          </wp:anchor>
        </w:drawing>
      </w:r>
    </w:p>
    <w:p>
      <w:pPr>
        <w:spacing w:line="720" w:lineRule="auto"/>
        <w:rPr>
          <w:rFonts w:hint="eastAsia" w:ascii="微软雅黑" w:hAnsi="微软雅黑" w:eastAsia="微软雅黑"/>
          <w:b/>
          <w:bCs/>
          <w:sz w:val="28"/>
        </w:rPr>
      </w:pPr>
    </w:p>
    <w:p>
      <w:pPr>
        <w:spacing w:line="720" w:lineRule="auto"/>
        <w:rPr>
          <w:rFonts w:hint="eastAsia" w:ascii="微软雅黑" w:hAnsi="微软雅黑" w:eastAsia="微软雅黑"/>
          <w:b/>
          <w:bCs/>
          <w:sz w:val="28"/>
          <w:lang w:val="en-US" w:eastAsia="zh-CN"/>
        </w:rPr>
      </w:pPr>
    </w:p>
    <w:p>
      <w:pPr>
        <w:rPr>
          <w:rFonts w:hint="eastAsia"/>
          <w:b/>
          <w:sz w:val="30"/>
          <w:szCs w:val="30"/>
        </w:rPr>
      </w:pPr>
      <w:bookmarkStart w:id="0" w:name="_GoBack"/>
      <w:bookmarkEnd w:id="0"/>
    </w:p>
    <w:p>
      <w:pPr>
        <w:rPr>
          <w:b/>
          <w:sz w:val="30"/>
          <w:szCs w:val="30"/>
        </w:rPr>
      </w:pPr>
      <w:r>
        <w:rPr>
          <w:rFonts w:hint="eastAsia"/>
          <w:b/>
          <w:sz w:val="30"/>
          <w:szCs w:val="30"/>
        </w:rPr>
        <w:t>附． 毕业生感言</w:t>
      </w:r>
    </w:p>
    <w:p>
      <w:r>
        <w:drawing>
          <wp:anchor distT="0" distB="0" distL="114300" distR="114300" simplePos="0" relativeHeight="251658240" behindDoc="0" locked="0" layoutInCell="1" allowOverlap="1">
            <wp:simplePos x="0" y="0"/>
            <wp:positionH relativeFrom="column">
              <wp:posOffset>-47625</wp:posOffset>
            </wp:positionH>
            <wp:positionV relativeFrom="paragraph">
              <wp:posOffset>17145</wp:posOffset>
            </wp:positionV>
            <wp:extent cx="2734945" cy="2171700"/>
            <wp:effectExtent l="19050" t="0" r="8255" b="0"/>
            <wp:wrapSquare wrapText="bothSides"/>
            <wp:docPr id="17" name="图片 16" descr="Krist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Kristine.png"/>
                    <pic:cNvPicPr>
                      <a:picLocks noChangeAspect="1"/>
                    </pic:cNvPicPr>
                  </pic:nvPicPr>
                  <pic:blipFill>
                    <a:blip r:embed="rId16" cstate="print"/>
                    <a:stretch>
                      <a:fillRect/>
                    </a:stretch>
                  </pic:blipFill>
                  <pic:spPr>
                    <a:xfrm>
                      <a:off x="0" y="0"/>
                      <a:ext cx="2734945" cy="2171700"/>
                    </a:xfrm>
                    <a:prstGeom prst="rect">
                      <a:avLst/>
                    </a:prstGeom>
                  </pic:spPr>
                </pic:pic>
              </a:graphicData>
            </a:graphic>
          </wp:anchor>
        </w:drawing>
      </w:r>
    </w:p>
    <w:p>
      <w:pPr>
        <w:rPr>
          <w:sz w:val="28"/>
          <w:szCs w:val="28"/>
        </w:rPr>
      </w:pPr>
      <w:r>
        <w:rPr>
          <w:rFonts w:hint="eastAsia"/>
          <w:sz w:val="28"/>
          <w:szCs w:val="28"/>
        </w:rPr>
        <w:t>“通过在金融硕士项目中的学习，不但我的金融实务技能得到了提升，而且我也有能力将所学技能运用到复杂工作环境中。项目中的许多讲师都具有丰富的从业经验，行业中的真实案例也运用到了课程中。极高的教学质量自始至终贯穿项目课程。与此同时，学校的校友和校园资源是使我能够有机会接触到业内高层职业经理人，并参与到由中方和外方举办的丰富多彩的活动中去。”</w:t>
      </w:r>
    </w:p>
    <w:p>
      <w:pPr>
        <w:ind w:firstLine="1820" w:firstLineChars="650"/>
        <w:rPr>
          <w:sz w:val="28"/>
          <w:szCs w:val="28"/>
        </w:rPr>
      </w:pPr>
      <w:r>
        <w:rPr>
          <w:rFonts w:hint="eastAsia"/>
          <w:sz w:val="28"/>
          <w:szCs w:val="28"/>
        </w:rPr>
        <w:t>——王世婷，</w:t>
      </w:r>
      <w:r>
        <w:rPr>
          <w:iCs/>
          <w:sz w:val="28"/>
          <w:szCs w:val="28"/>
        </w:rPr>
        <w:t>中国华能</w:t>
      </w:r>
      <w:r>
        <w:rPr>
          <w:sz w:val="28"/>
          <w:szCs w:val="28"/>
        </w:rPr>
        <w:t>集团</w:t>
      </w:r>
      <w:r>
        <w:rPr>
          <w:iCs/>
          <w:sz w:val="28"/>
          <w:szCs w:val="28"/>
        </w:rPr>
        <w:t>香港</w:t>
      </w:r>
      <w:r>
        <w:rPr>
          <w:sz w:val="28"/>
          <w:szCs w:val="28"/>
        </w:rPr>
        <w:t>有限公司</w:t>
      </w:r>
      <w:r>
        <w:rPr>
          <w:rFonts w:hint="eastAsia"/>
          <w:sz w:val="28"/>
          <w:szCs w:val="28"/>
        </w:rPr>
        <w:t>金融分析师</w:t>
      </w:r>
    </w:p>
    <w:p>
      <w:pPr>
        <w:rPr>
          <w:sz w:val="28"/>
          <w:szCs w:val="28"/>
        </w:rPr>
      </w:pPr>
      <w:r>
        <w:rPr>
          <w:rFonts w:hint="eastAsia"/>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153670</wp:posOffset>
            </wp:positionV>
            <wp:extent cx="2552700" cy="2071370"/>
            <wp:effectExtent l="0" t="0" r="0" b="5080"/>
            <wp:wrapSquare wrapText="bothSides"/>
            <wp:docPr id="19" name="图片 17" descr="Sa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Sasha.png"/>
                    <pic:cNvPicPr>
                      <a:picLocks noChangeAspect="1"/>
                    </pic:cNvPicPr>
                  </pic:nvPicPr>
                  <pic:blipFill>
                    <a:blip r:embed="rId17" cstate="print"/>
                    <a:stretch>
                      <a:fillRect/>
                    </a:stretch>
                  </pic:blipFill>
                  <pic:spPr>
                    <a:xfrm>
                      <a:off x="0" y="0"/>
                      <a:ext cx="2552700" cy="2071370"/>
                    </a:xfrm>
                    <a:prstGeom prst="rect">
                      <a:avLst/>
                    </a:prstGeom>
                  </pic:spPr>
                </pic:pic>
              </a:graphicData>
            </a:graphic>
          </wp:anchor>
        </w:drawing>
      </w:r>
      <w:r>
        <w:rPr>
          <w:rFonts w:hint="eastAsia"/>
          <w:sz w:val="28"/>
          <w:szCs w:val="28"/>
        </w:rPr>
        <w:t>“海外留学经历使我充分感受到不同的文化，从全新的视角感受这个世界。在中国人民大学-加拿大女王大学金融硕士项目学习的过程中，我学到了使我能够在全球金融市场中竞争取胜的纸质和技能。学习期间，我还在新成立的加中青年协会（CCYA）中义务担任首席财务官。我们重视加中关系，并为北京地区的当地人、外国人和外籍雇员组织了多种多样的活动 ”</w:t>
      </w:r>
    </w:p>
    <w:p>
      <w:pPr>
        <w:ind w:firstLine="700" w:firstLineChars="250"/>
        <w:rPr>
          <w:sz w:val="28"/>
          <w:szCs w:val="28"/>
        </w:rPr>
      </w:pPr>
      <w:r>
        <w:rPr>
          <w:rFonts w:hint="eastAsia"/>
          <w:sz w:val="28"/>
          <w:szCs w:val="28"/>
        </w:rPr>
        <w:t>——Sasha Ghafir   Altus咨询集团公司（加拿大）高级分析师</w:t>
      </w:r>
    </w:p>
    <w:p>
      <w:pPr>
        <w:rPr>
          <w:sz w:val="28"/>
          <w:szCs w:val="28"/>
        </w:rPr>
      </w:pPr>
      <w:r>
        <w:rPr>
          <w:sz w:val="28"/>
          <w:szCs w:val="28"/>
        </w:rPr>
        <w:drawing>
          <wp:anchor distT="0" distB="0" distL="114300" distR="114300" simplePos="0" relativeHeight="251659264" behindDoc="0" locked="0" layoutInCell="1" allowOverlap="1">
            <wp:simplePos x="0" y="0"/>
            <wp:positionH relativeFrom="column">
              <wp:posOffset>66675</wp:posOffset>
            </wp:positionH>
            <wp:positionV relativeFrom="paragraph">
              <wp:posOffset>317500</wp:posOffset>
            </wp:positionV>
            <wp:extent cx="2856230" cy="2105025"/>
            <wp:effectExtent l="19050" t="0" r="1270" b="0"/>
            <wp:wrapSquare wrapText="bothSides"/>
            <wp:docPr id="20" name="图片 19" descr="Sh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Shannon.png"/>
                    <pic:cNvPicPr>
                      <a:picLocks noChangeAspect="1"/>
                    </pic:cNvPicPr>
                  </pic:nvPicPr>
                  <pic:blipFill>
                    <a:blip r:embed="rId18" cstate="print"/>
                    <a:stretch>
                      <a:fillRect/>
                    </a:stretch>
                  </pic:blipFill>
                  <pic:spPr>
                    <a:xfrm>
                      <a:off x="0" y="0"/>
                      <a:ext cx="2856230" cy="2105025"/>
                    </a:xfrm>
                    <a:prstGeom prst="rect">
                      <a:avLst/>
                    </a:prstGeom>
                  </pic:spPr>
                </pic:pic>
              </a:graphicData>
            </a:graphic>
          </wp:anchor>
        </w:drawing>
      </w:r>
    </w:p>
    <w:p>
      <w:pPr>
        <w:ind w:firstLine="560" w:firstLineChars="200"/>
        <w:rPr>
          <w:sz w:val="28"/>
          <w:szCs w:val="28"/>
        </w:rPr>
      </w:pPr>
      <w:r>
        <w:rPr>
          <w:rFonts w:hint="eastAsia"/>
          <w:sz w:val="28"/>
          <w:szCs w:val="28"/>
        </w:rPr>
        <w:t xml:space="preserve"> “中加金融硕士项目是促成我从法律专业平稳过渡到金融行业的平台。其中的一些课程，例如股票市场分析，让我对股票产生了的浓厚的兴趣。这也是我现在在这个领域工作的原因。学习期间，我积极的在北京建立职业联系，还在加拿大驻华使馆的金融和经济部门实习过。这个经历使我有机会充分了解中国经济和中国市场。项目课程中那些给我们压力、让我们不断突破自我极限的讲师让我印象非常深刻，我认为是他们让我们做好了应对当今金融行业中层出不穷的挑战的准备。”      </w:t>
      </w:r>
    </w:p>
    <w:p>
      <w:pPr>
        <w:ind w:firstLine="2240" w:firstLineChars="800"/>
      </w:pPr>
      <w:r>
        <w:rPr>
          <w:rFonts w:hint="eastAsia"/>
          <w:sz w:val="28"/>
          <w:szCs w:val="28"/>
        </w:rPr>
        <w:t>——龚璇 瑞银集团UBS（香港）全球股票业务部</w:t>
      </w:r>
    </w:p>
    <w:sectPr>
      <w:pgSz w:w="11906" w:h="16838"/>
      <w:pgMar w:top="1440" w:right="1800" w:bottom="113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65AAE"/>
    <w:multiLevelType w:val="singleLevel"/>
    <w:tmpl w:val="58465AAE"/>
    <w:lvl w:ilvl="0" w:tentative="0">
      <w:start w:val="2"/>
      <w:numFmt w:val="chineseCounting"/>
      <w:suff w:val="space"/>
      <w:lvlText w:val="%1."/>
      <w:lvlJc w:val="left"/>
    </w:lvl>
  </w:abstractNum>
  <w:abstractNum w:abstractNumId="1">
    <w:nsid w:val="584662BD"/>
    <w:multiLevelType w:val="singleLevel"/>
    <w:tmpl w:val="584662BD"/>
    <w:lvl w:ilvl="0" w:tentative="0">
      <w:start w:val="1"/>
      <w:numFmt w:val="bullet"/>
      <w:lvlText w:val=""/>
      <w:lvlJc w:val="left"/>
      <w:pPr>
        <w:ind w:left="420" w:hanging="420"/>
      </w:pPr>
      <w:rPr>
        <w:rFonts w:hint="default" w:ascii="Wingdings" w:hAnsi="Wingdings"/>
      </w:rPr>
    </w:lvl>
  </w:abstractNum>
  <w:abstractNum w:abstractNumId="2">
    <w:nsid w:val="584FAAD6"/>
    <w:multiLevelType w:val="singleLevel"/>
    <w:tmpl w:val="584FAAD6"/>
    <w:lvl w:ilvl="0" w:tentative="0">
      <w:start w:val="1"/>
      <w:numFmt w:val="bullet"/>
      <w:lvlText w:val=""/>
      <w:lvlJc w:val="left"/>
      <w:pPr>
        <w:ind w:left="420" w:hanging="420"/>
      </w:pPr>
      <w:rPr>
        <w:rFonts w:hint="default" w:ascii="Wingdings" w:hAnsi="Wingdings"/>
      </w:rPr>
    </w:lvl>
  </w:abstractNum>
  <w:abstractNum w:abstractNumId="3">
    <w:nsid w:val="584FABCE"/>
    <w:multiLevelType w:val="singleLevel"/>
    <w:tmpl w:val="584FABCE"/>
    <w:lvl w:ilvl="0" w:tentative="0">
      <w:start w:val="6"/>
      <w:numFmt w:val="chineseCounting"/>
      <w:suff w:val="nothing"/>
      <w:lvlText w:val="%1．"/>
      <w:lvlJc w:val="left"/>
    </w:lvl>
  </w:abstractNum>
  <w:abstractNum w:abstractNumId="4">
    <w:nsid w:val="6075371A"/>
    <w:multiLevelType w:val="multilevel"/>
    <w:tmpl w:val="6075371A"/>
    <w:lvl w:ilvl="0" w:tentative="0">
      <w:start w:val="7"/>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ED8113B"/>
    <w:rsid w:val="00015F18"/>
    <w:rsid w:val="00022458"/>
    <w:rsid w:val="000A1721"/>
    <w:rsid w:val="000A490A"/>
    <w:rsid w:val="000B5AEE"/>
    <w:rsid w:val="000E2224"/>
    <w:rsid w:val="000E56C4"/>
    <w:rsid w:val="001014C5"/>
    <w:rsid w:val="00115880"/>
    <w:rsid w:val="001201BC"/>
    <w:rsid w:val="00140679"/>
    <w:rsid w:val="00151AAB"/>
    <w:rsid w:val="0019217C"/>
    <w:rsid w:val="001C6AE5"/>
    <w:rsid w:val="001F24F1"/>
    <w:rsid w:val="00232138"/>
    <w:rsid w:val="002365C6"/>
    <w:rsid w:val="002525C5"/>
    <w:rsid w:val="00265CB4"/>
    <w:rsid w:val="00272534"/>
    <w:rsid w:val="002957A3"/>
    <w:rsid w:val="00297E55"/>
    <w:rsid w:val="002A1FCF"/>
    <w:rsid w:val="002B779B"/>
    <w:rsid w:val="002E5291"/>
    <w:rsid w:val="00301206"/>
    <w:rsid w:val="003052CD"/>
    <w:rsid w:val="00305D56"/>
    <w:rsid w:val="00340715"/>
    <w:rsid w:val="003440E4"/>
    <w:rsid w:val="00354401"/>
    <w:rsid w:val="0036309E"/>
    <w:rsid w:val="00366E9A"/>
    <w:rsid w:val="0038167A"/>
    <w:rsid w:val="003914C2"/>
    <w:rsid w:val="00396457"/>
    <w:rsid w:val="003C73CE"/>
    <w:rsid w:val="003D3CF6"/>
    <w:rsid w:val="003E531F"/>
    <w:rsid w:val="003F4026"/>
    <w:rsid w:val="004078C8"/>
    <w:rsid w:val="00415C5A"/>
    <w:rsid w:val="0042139C"/>
    <w:rsid w:val="0042192B"/>
    <w:rsid w:val="00464EB6"/>
    <w:rsid w:val="004A0D36"/>
    <w:rsid w:val="004A3894"/>
    <w:rsid w:val="004A6871"/>
    <w:rsid w:val="004B1E71"/>
    <w:rsid w:val="004B758D"/>
    <w:rsid w:val="004C5F70"/>
    <w:rsid w:val="004F7006"/>
    <w:rsid w:val="00505875"/>
    <w:rsid w:val="00506452"/>
    <w:rsid w:val="00507D43"/>
    <w:rsid w:val="00571CFE"/>
    <w:rsid w:val="00574CEF"/>
    <w:rsid w:val="0057713B"/>
    <w:rsid w:val="005D0266"/>
    <w:rsid w:val="005F133C"/>
    <w:rsid w:val="005F17D4"/>
    <w:rsid w:val="006112F1"/>
    <w:rsid w:val="00622AE4"/>
    <w:rsid w:val="00635692"/>
    <w:rsid w:val="00663323"/>
    <w:rsid w:val="006768F0"/>
    <w:rsid w:val="006905C0"/>
    <w:rsid w:val="006A1216"/>
    <w:rsid w:val="006D7594"/>
    <w:rsid w:val="006E2D6A"/>
    <w:rsid w:val="006F05DE"/>
    <w:rsid w:val="00722A32"/>
    <w:rsid w:val="007339DE"/>
    <w:rsid w:val="007762FA"/>
    <w:rsid w:val="00781A99"/>
    <w:rsid w:val="00782B73"/>
    <w:rsid w:val="00787813"/>
    <w:rsid w:val="007A05B8"/>
    <w:rsid w:val="007E2DBD"/>
    <w:rsid w:val="007E338C"/>
    <w:rsid w:val="007E5349"/>
    <w:rsid w:val="00811BD5"/>
    <w:rsid w:val="00823C61"/>
    <w:rsid w:val="00837EFA"/>
    <w:rsid w:val="008561D8"/>
    <w:rsid w:val="00890FE2"/>
    <w:rsid w:val="008A238E"/>
    <w:rsid w:val="008B3EBB"/>
    <w:rsid w:val="008C2621"/>
    <w:rsid w:val="008C7FB1"/>
    <w:rsid w:val="008E3EAC"/>
    <w:rsid w:val="008E527B"/>
    <w:rsid w:val="00910C23"/>
    <w:rsid w:val="0091415E"/>
    <w:rsid w:val="00915DFD"/>
    <w:rsid w:val="00927375"/>
    <w:rsid w:val="009327CD"/>
    <w:rsid w:val="00932FA0"/>
    <w:rsid w:val="009606E4"/>
    <w:rsid w:val="009A2603"/>
    <w:rsid w:val="009B2472"/>
    <w:rsid w:val="00A04142"/>
    <w:rsid w:val="00A112D4"/>
    <w:rsid w:val="00A46B8E"/>
    <w:rsid w:val="00A523DD"/>
    <w:rsid w:val="00A54E34"/>
    <w:rsid w:val="00A6612E"/>
    <w:rsid w:val="00A972B4"/>
    <w:rsid w:val="00AA02FD"/>
    <w:rsid w:val="00AC57C3"/>
    <w:rsid w:val="00AD4E37"/>
    <w:rsid w:val="00AF4762"/>
    <w:rsid w:val="00B17C25"/>
    <w:rsid w:val="00B17FF2"/>
    <w:rsid w:val="00B220B6"/>
    <w:rsid w:val="00B44691"/>
    <w:rsid w:val="00B56EC0"/>
    <w:rsid w:val="00B61AD9"/>
    <w:rsid w:val="00B64A80"/>
    <w:rsid w:val="00B87AEC"/>
    <w:rsid w:val="00BA0DA0"/>
    <w:rsid w:val="00BA7F38"/>
    <w:rsid w:val="00BB0B80"/>
    <w:rsid w:val="00BC766E"/>
    <w:rsid w:val="00BE1B66"/>
    <w:rsid w:val="00C15251"/>
    <w:rsid w:val="00C24587"/>
    <w:rsid w:val="00C27EFB"/>
    <w:rsid w:val="00C429ED"/>
    <w:rsid w:val="00C61B95"/>
    <w:rsid w:val="00C63610"/>
    <w:rsid w:val="00C719C1"/>
    <w:rsid w:val="00C86A05"/>
    <w:rsid w:val="00C94027"/>
    <w:rsid w:val="00CA5FFD"/>
    <w:rsid w:val="00CB3A01"/>
    <w:rsid w:val="00CD5F35"/>
    <w:rsid w:val="00CE2769"/>
    <w:rsid w:val="00CE4169"/>
    <w:rsid w:val="00CE64D0"/>
    <w:rsid w:val="00D01AB4"/>
    <w:rsid w:val="00D058F7"/>
    <w:rsid w:val="00D36F84"/>
    <w:rsid w:val="00D3704F"/>
    <w:rsid w:val="00D605D6"/>
    <w:rsid w:val="00D6193A"/>
    <w:rsid w:val="00D74B58"/>
    <w:rsid w:val="00D97C53"/>
    <w:rsid w:val="00DA1EC9"/>
    <w:rsid w:val="00DA2634"/>
    <w:rsid w:val="00DA45C9"/>
    <w:rsid w:val="00DC2C22"/>
    <w:rsid w:val="00DC3BC4"/>
    <w:rsid w:val="00DC4BE9"/>
    <w:rsid w:val="00DD3294"/>
    <w:rsid w:val="00DE7187"/>
    <w:rsid w:val="00E1002F"/>
    <w:rsid w:val="00E1015F"/>
    <w:rsid w:val="00E57039"/>
    <w:rsid w:val="00E60CF3"/>
    <w:rsid w:val="00E64155"/>
    <w:rsid w:val="00E64E3C"/>
    <w:rsid w:val="00E70513"/>
    <w:rsid w:val="00E70662"/>
    <w:rsid w:val="00E7586E"/>
    <w:rsid w:val="00E80D0F"/>
    <w:rsid w:val="00EA0BC6"/>
    <w:rsid w:val="00EA6138"/>
    <w:rsid w:val="00EB4541"/>
    <w:rsid w:val="00EC36DB"/>
    <w:rsid w:val="00EE324A"/>
    <w:rsid w:val="00F0723F"/>
    <w:rsid w:val="00F110FF"/>
    <w:rsid w:val="00F2307F"/>
    <w:rsid w:val="00F27C0D"/>
    <w:rsid w:val="00F36163"/>
    <w:rsid w:val="00F7051F"/>
    <w:rsid w:val="00FB39A3"/>
    <w:rsid w:val="00FC06A1"/>
    <w:rsid w:val="00FC1155"/>
    <w:rsid w:val="00FC168F"/>
    <w:rsid w:val="00FC33B3"/>
    <w:rsid w:val="00FE427E"/>
    <w:rsid w:val="00FF34D5"/>
    <w:rsid w:val="02C83421"/>
    <w:rsid w:val="035D4F94"/>
    <w:rsid w:val="039C6664"/>
    <w:rsid w:val="0415659C"/>
    <w:rsid w:val="061477EB"/>
    <w:rsid w:val="066D3FEE"/>
    <w:rsid w:val="07767353"/>
    <w:rsid w:val="0924004D"/>
    <w:rsid w:val="0B2071C4"/>
    <w:rsid w:val="0B3E2EB2"/>
    <w:rsid w:val="0EBA0499"/>
    <w:rsid w:val="0EEB0CB3"/>
    <w:rsid w:val="10FE2EAB"/>
    <w:rsid w:val="12EC030F"/>
    <w:rsid w:val="14C723A2"/>
    <w:rsid w:val="1AAA3193"/>
    <w:rsid w:val="1B2954F5"/>
    <w:rsid w:val="1B811C42"/>
    <w:rsid w:val="1F431ADD"/>
    <w:rsid w:val="21316C44"/>
    <w:rsid w:val="22994B98"/>
    <w:rsid w:val="245C02DE"/>
    <w:rsid w:val="24C365B9"/>
    <w:rsid w:val="259A736B"/>
    <w:rsid w:val="25FB62AC"/>
    <w:rsid w:val="28560FF5"/>
    <w:rsid w:val="28C76429"/>
    <w:rsid w:val="29951A0F"/>
    <w:rsid w:val="2A8D6098"/>
    <w:rsid w:val="2B1E2B80"/>
    <w:rsid w:val="2BEE2549"/>
    <w:rsid w:val="2E1808F7"/>
    <w:rsid w:val="2F8D34BB"/>
    <w:rsid w:val="318F7EEB"/>
    <w:rsid w:val="3216327F"/>
    <w:rsid w:val="336944B2"/>
    <w:rsid w:val="33F10706"/>
    <w:rsid w:val="34782990"/>
    <w:rsid w:val="37BA575B"/>
    <w:rsid w:val="37BD18BB"/>
    <w:rsid w:val="3867248D"/>
    <w:rsid w:val="39071566"/>
    <w:rsid w:val="3CE13F64"/>
    <w:rsid w:val="3D236A9E"/>
    <w:rsid w:val="3DFE6166"/>
    <w:rsid w:val="3F111138"/>
    <w:rsid w:val="43D5142D"/>
    <w:rsid w:val="44673E56"/>
    <w:rsid w:val="44CC2748"/>
    <w:rsid w:val="48807CCE"/>
    <w:rsid w:val="4EE45E75"/>
    <w:rsid w:val="4EF2276C"/>
    <w:rsid w:val="4F015233"/>
    <w:rsid w:val="50DC0895"/>
    <w:rsid w:val="51C31E6E"/>
    <w:rsid w:val="54187B80"/>
    <w:rsid w:val="568E5B9B"/>
    <w:rsid w:val="5AC81FDC"/>
    <w:rsid w:val="5B42295A"/>
    <w:rsid w:val="5CA147E0"/>
    <w:rsid w:val="5CD5465E"/>
    <w:rsid w:val="5D276B7E"/>
    <w:rsid w:val="5ED8113B"/>
    <w:rsid w:val="61C31F5C"/>
    <w:rsid w:val="62163B72"/>
    <w:rsid w:val="6558098F"/>
    <w:rsid w:val="69F00403"/>
    <w:rsid w:val="69FA2D36"/>
    <w:rsid w:val="6A1B3D50"/>
    <w:rsid w:val="6D491E76"/>
    <w:rsid w:val="720A4F13"/>
    <w:rsid w:val="72BC23AF"/>
    <w:rsid w:val="73E9098F"/>
    <w:rsid w:val="7591548C"/>
    <w:rsid w:val="77D16446"/>
    <w:rsid w:val="78C75958"/>
    <w:rsid w:val="799D67EA"/>
    <w:rsid w:val="7CF80005"/>
    <w:rsid w:val="7D261A6E"/>
    <w:rsid w:val="7D5A1D20"/>
    <w:rsid w:val="7F3C2864"/>
    <w:rsid w:val="7F7F1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1">
    <w:name w:val="页眉 Char"/>
    <w:basedOn w:val="7"/>
    <w:link w:val="5"/>
    <w:qFormat/>
    <w:uiPriority w:val="0"/>
    <w:rPr>
      <w:rFonts w:asciiTheme="minorHAnsi" w:hAnsiTheme="minorHAnsi" w:eastAsiaTheme="minorEastAsia" w:cstheme="minorBidi"/>
      <w:kern w:val="2"/>
      <w:sz w:val="18"/>
      <w:szCs w:val="18"/>
    </w:rPr>
  </w:style>
  <w:style w:type="character" w:customStyle="1" w:styleId="12">
    <w:name w:val="页脚 Char"/>
    <w:basedOn w:val="7"/>
    <w:link w:val="4"/>
    <w:qFormat/>
    <w:uiPriority w:val="0"/>
    <w:rPr>
      <w:rFonts w:asciiTheme="minorHAnsi" w:hAnsiTheme="minorHAnsi" w:eastAsiaTheme="minorEastAsia" w:cstheme="minorBidi"/>
      <w:kern w:val="2"/>
      <w:sz w:val="18"/>
      <w:szCs w:val="18"/>
    </w:rPr>
  </w:style>
  <w:style w:type="character" w:customStyle="1" w:styleId="13">
    <w:name w:val="批注框文本 Char"/>
    <w:basedOn w:val="7"/>
    <w:link w:val="3"/>
    <w:qFormat/>
    <w:uiPriority w:val="0"/>
    <w:rPr>
      <w:rFonts w:asciiTheme="minorHAnsi" w:hAnsiTheme="minorHAnsi" w:eastAsiaTheme="minorEastAsia" w:cstheme="minorBidi"/>
      <w:kern w:val="2"/>
      <w:sz w:val="18"/>
      <w:szCs w:val="18"/>
    </w:rPr>
  </w:style>
  <w:style w:type="paragraph" w:customStyle="1" w:styleId="14">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Pages>
  <Words>900</Words>
  <Characters>5135</Characters>
  <Lines>42</Lines>
  <Paragraphs>12</Paragraphs>
  <TotalTime>3</TotalTime>
  <ScaleCrop>false</ScaleCrop>
  <LinksUpToDate>false</LinksUpToDate>
  <CharactersWithSpaces>6023</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2016-12-15T01:53:00Z</dcterms:created>
  <dc:creator>lenovo</dc:creator>
  <cp:lastModifiedBy>Administrator</cp:lastModifiedBy>
  <dcterms:modified xsi:type="dcterms:W3CDTF">2018-11-13T07:25:48Z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