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ict>
          <v:shape id="_x0000_s1026" o:spid="_x0000_s1026" o:spt="75" type="#_x0000_t75" style="position:absolute;left:0pt;margin-left:-90pt;margin-top:-37.95pt;height:840pt;width:603.1pt;z-index:-251651072;mso-width-relative:page;mso-height-relative:page;" filled="f" coordsize="21600,21600">
            <v:path/>
            <v:fill on="f" focussize="0,0"/>
            <v:stroke/>
            <v:imagedata r:id="rId5" o:title="高端访问学者简章 1"/>
            <o:lock v:ext="edit" aspectratio="t"/>
          </v:shape>
        </w:pict>
      </w:r>
    </w:p>
    <w:p/>
    <w:p/>
    <w:p/>
    <w:p/>
    <w:p/>
    <w:p/>
    <w:p/>
    <w:p/>
    <w:p/>
    <w:p/>
    <w:p/>
    <w:p/>
    <w:p/>
    <w:p/>
    <w:p/>
    <w:p/>
    <w:p/>
    <w:p/>
    <w:p/>
    <w:p/>
    <w:p/>
    <w:p/>
    <w:p/>
    <w:p/>
    <w:p/>
    <w:p/>
    <w:p/>
    <w:p/>
    <w:p/>
    <w:p/>
    <w:p/>
    <w:p/>
    <w:p/>
    <w:p/>
    <w:p/>
    <w:p/>
    <w:p/>
    <w:p/>
    <w:p/>
    <w:p/>
    <w:p/>
    <w:p/>
    <w:p/>
    <w:p>
      <w:r>
        <w:pict>
          <v:shape id="_x0000_s1031" o:spid="_x0000_s1031" o:spt="75" type="#_x0000_t75" style="position:absolute;left:0pt;margin-left:83.25pt;margin-top:0pt;height:78.65pt;width:249pt;z-index:-251658240;mso-width-relative:page;mso-height-relative:page;" filled="f" coordsize="21600,21600">
            <v:path/>
            <v:fill on="f" focussize="0,0"/>
            <v:stroke/>
            <v:imagedata r:id="rId6" o:title="3"/>
            <o:lock v:ext="edit" aspectratio="t"/>
          </v:shape>
        </w:pict>
      </w:r>
    </w:p>
    <w:p/>
    <w:p/>
    <w:p/>
    <w:p/>
    <w:p/>
    <w:p>
      <w:r>
        <w:rPr>
          <w:rFonts w:asciiTheme="minorEastAsia" w:hAnsiTheme="minorEastAsia"/>
        </w:rPr>
        <w:pict>
          <v:shape id="_x0000_s1028" o:spid="_x0000_s1028" o:spt="75" type="#_x0000_t75" style="position:absolute;left:0pt;margin-left:225.75pt;margin-top:4.1pt;height:318.75pt;width:279pt;z-index:-251650048;mso-width-relative:page;mso-height-relative:page;" filled="f" coordsize="21600,21600">
            <v:path/>
            <v:fill on="f" focussize="0,0"/>
            <v:stroke/>
            <v:imagedata r:id="rId7" o:title="第二页"/>
            <o:lock v:ext="edit" aspectratio="t"/>
          </v:shape>
        </w:pict>
      </w:r>
    </w:p>
    <w:p>
      <w:pPr>
        <w:spacing w:line="276" w:lineRule="auto"/>
        <w:ind w:right="1926" w:rightChars="917" w:firstLine="420" w:firstLineChars="200"/>
        <w:rPr>
          <w:rFonts w:asciiTheme="minorEastAsia" w:hAnsiTheme="minorEastAsia"/>
        </w:rPr>
      </w:pPr>
      <w:r>
        <w:rPr>
          <w:rFonts w:hint="eastAsia" w:asciiTheme="minorEastAsia" w:hAnsiTheme="minorEastAsia"/>
        </w:rPr>
        <w:t>访问学者是指具有一定学术背景、科研能力和工作经历的人前往国外著名大学、企业实验室等专业领域进行短期进修和学习的项目形式。这种学习进修的方式可以有效的帮助学者本人快速获取行业内最新的知识和技术、拓展新的行业视野，从而在自己的领域中（学术研究或者职业发展）取得新的突破。</w:t>
      </w:r>
    </w:p>
    <w:p>
      <w:pPr>
        <w:spacing w:line="276" w:lineRule="auto"/>
        <w:ind w:right="1926" w:rightChars="917" w:firstLine="420" w:firstLineChars="200"/>
        <w:rPr>
          <w:rFonts w:asciiTheme="minorEastAsia" w:hAnsiTheme="minorEastAsia"/>
        </w:rPr>
      </w:pPr>
      <w:r>
        <w:rPr>
          <w:rFonts w:asciiTheme="minorEastAsia" w:hAnsiTheme="minorEastAsia"/>
        </w:rPr>
        <w:t>与留学不同，访问学者的参与者一般都是行业内的资深人士，他们大多已经在本行业中具有相当的地位，为解决当前事业发展或者研究领域中的具体问题，有效利用国际上领域内领军的大学或研究机构资源的一种学习进修方式。</w:t>
      </w:r>
    </w:p>
    <w:p>
      <w:pPr>
        <w:ind w:right="1926" w:rightChars="917"/>
      </w:pPr>
    </w:p>
    <w:p/>
    <w:p/>
    <w:p/>
    <w:p/>
    <w:p/>
    <w:p>
      <w:r>
        <w:pict>
          <v:shape id="_x0000_s1029" o:spid="_x0000_s1029" o:spt="75" type="#_x0000_t75" style="position:absolute;left:0pt;margin-left:-37.5pt;margin-top:16.4pt;height:45.15pt;width:150.75pt;z-index:-251649024;mso-width-relative:page;mso-height-relative:page;" filled="f" coordsize="21600,21600">
            <v:path/>
            <v:fill on="f" focussize="0,0"/>
            <v:stroke/>
            <v:imagedata r:id="rId8" o:title="2"/>
            <o:lock v:ext="edit" aspectratio="t"/>
          </v:shape>
        </w:pict>
      </w:r>
    </w:p>
    <w:p/>
    <w:p/>
    <w:p/>
    <w:p>
      <w:pPr>
        <w:spacing w:line="276" w:lineRule="auto"/>
        <w:ind w:right="84" w:rightChars="40" w:firstLine="420" w:firstLineChars="200"/>
        <w:rPr>
          <w:rFonts w:asciiTheme="minorEastAsia" w:hAnsiTheme="minorEastAsia"/>
        </w:rPr>
      </w:pPr>
      <w:r>
        <w:pict>
          <v:shape id="_x0000_s1036" o:spid="_x0000_s1036" o:spt="75" type="#_x0000_t75" style="position:absolute;left:0pt;margin-left:315.75pt;margin-top:3.85pt;height:333.75pt;width:188.25pt;z-index:-251643904;mso-width-relative:page;mso-height-relative:page;" filled="f" coordsize="21600,21600">
            <v:path/>
            <v:fill on="f" focussize="0,0"/>
            <v:stroke/>
            <v:imagedata r:id="rId9" o:title="5"/>
            <o:lock v:ext="edit" aspectratio="t"/>
          </v:shape>
        </w:pict>
      </w:r>
      <w:r>
        <w:rPr>
          <w:rFonts w:hint="eastAsia"/>
        </w:rPr>
        <w:drawing>
          <wp:anchor distT="0" distB="0" distL="114300" distR="114300" simplePos="0" relativeHeight="251671552" behindDoc="1" locked="0" layoutInCell="1" allowOverlap="1">
            <wp:simplePos x="0" y="0"/>
            <wp:positionH relativeFrom="column">
              <wp:posOffset>4705350</wp:posOffset>
            </wp:positionH>
            <wp:positionV relativeFrom="paragraph">
              <wp:posOffset>1277620</wp:posOffset>
            </wp:positionV>
            <wp:extent cx="1695450" cy="3094355"/>
            <wp:effectExtent l="0" t="0" r="0" b="0"/>
            <wp:wrapNone/>
            <wp:docPr id="2" name="图片 2" descr="C:\Users\Deckon\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ckon\AppData\Local\Microsoft\Windows\INetCache\Content.Word\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95450" cy="3094428"/>
                    </a:xfrm>
                    <a:prstGeom prst="rect">
                      <a:avLst/>
                    </a:prstGeom>
                    <a:noFill/>
                    <a:ln>
                      <a:noFill/>
                    </a:ln>
                  </pic:spPr>
                </pic:pic>
              </a:graphicData>
            </a:graphic>
          </wp:anchor>
        </w:drawing>
      </w:r>
      <w:r>
        <w:pict>
          <v:shape id="_x0000_s1030" o:spid="_x0000_s1030" o:spt="75" type="#_x0000_t75" style="position:absolute;left:0pt;margin-left:47.25pt;margin-top:123.6pt;height:165.5pt;width:322.5pt;z-index:-251648000;mso-width-relative:page;mso-height-relative:page;" filled="f" coordsize="21600,21600">
            <v:path/>
            <v:fill on="f" focussize="0,0"/>
            <v:stroke/>
            <v:imagedata r:id="rId11" o:title="访问学者及博士后人数变化（公派）"/>
            <o:lock v:ext="edit" aspectratio="t"/>
          </v:shape>
        </w:pict>
      </w:r>
      <w:r>
        <w:rPr>
          <w:rFonts w:hint="eastAsia" w:asciiTheme="minorEastAsia" w:hAnsiTheme="minorEastAsia"/>
        </w:rPr>
        <w:t>访问学者是行业资深人士进行短期学习与研究的根本途径，一直以来都是我国战略行业获得技术进步的基本依托。由于与以攻读学位的留学项目不同，因此我国相关管理部门通常将境外博士后项目划归到访问学者中。从人数上来看，中国的出境访学人数在</w:t>
      </w:r>
      <w:r>
        <w:rPr>
          <w:rFonts w:asciiTheme="minorEastAsia" w:hAnsiTheme="minorEastAsia"/>
        </w:rPr>
        <w:t>2010年之后一直处于快速增长状态。以国家的公派访学人数来说，2010年只有12000人出境访学，而到了2018年就已经增长到32300人。随着我国开放程度的加大以及国际上对于我国科技工作者的接纳程度的提高，近几年由个人承担费用的自费访问学者人数也出现了直线性的增长。</w:t>
      </w:r>
    </w:p>
    <w:p/>
    <w:p>
      <w:r>
        <w:drawing>
          <wp:anchor distT="0" distB="0" distL="114300" distR="114300" simplePos="0" relativeHeight="251670528" behindDoc="1" locked="0" layoutInCell="1" allowOverlap="1">
            <wp:simplePos x="0" y="0"/>
            <wp:positionH relativeFrom="column">
              <wp:posOffset>3924300</wp:posOffset>
            </wp:positionH>
            <wp:positionV relativeFrom="paragraph">
              <wp:posOffset>5962650</wp:posOffset>
            </wp:positionV>
            <wp:extent cx="1743075" cy="3181350"/>
            <wp:effectExtent l="0" t="0" r="9525" b="0"/>
            <wp:wrapNone/>
            <wp:docPr id="1" name="图片 1" descr="C:\Users\Deckon\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ckon\AppData\Local\Microsoft\Windows\INetCache\Content.Word\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43075" cy="3181350"/>
                    </a:xfrm>
                    <a:prstGeom prst="rect">
                      <a:avLst/>
                    </a:prstGeom>
                    <a:noFill/>
                    <a:ln>
                      <a:noFill/>
                    </a:ln>
                  </pic:spPr>
                </pic:pic>
              </a:graphicData>
            </a:graphic>
          </wp:anchor>
        </w:drawing>
      </w:r>
    </w:p>
    <w:p/>
    <w:p/>
    <w:p/>
    <w:p/>
    <w:p/>
    <w:p/>
    <w:p/>
    <w:p>
      <w:r>
        <w:pict>
          <v:shape id="_x0000_s1042" o:spid="_x0000_s1042" o:spt="75" type="#_x0000_t75" style="position:absolute;left:0pt;margin-left:-42pt;margin-top:-24.5pt;height:769.25pt;width:554.65pt;z-index:-251652096;mso-width-relative:page;mso-height-relative:page;" filled="f" coordsize="21600,21600">
            <v:path/>
            <v:fill on="f" focussize="0,0"/>
            <v:stroke/>
            <v:imagedata r:id="rId12" o:title="8-1"/>
            <o:lock v:ext="edit" aspectratio="t"/>
          </v:shape>
        </w:pict>
      </w:r>
    </w:p>
    <w:p/>
    <w:p>
      <w:r>
        <w:pict>
          <v:shape id="_x0000_s1037" o:spid="_x0000_s1037" o:spt="75" type="#_x0000_t75" style="position:absolute;left:0pt;margin-left:-43.5pt;margin-top:11.55pt;height:46.75pt;width:240.85pt;z-index:-251642880;mso-width-relative:page;mso-height-relative:page;" filled="f" coordsize="21600,21600">
            <v:path/>
            <v:fill on="f" focussize="0,0"/>
            <v:stroke/>
            <v:imagedata r:id="rId13" o:title="6"/>
            <o:lock v:ext="edit" aspectratio="t"/>
          </v:shape>
        </w:pict>
      </w:r>
    </w:p>
    <w:p/>
    <w:p/>
    <w:p/>
    <w:p/>
    <w:p/>
    <w:p/>
    <w:p/>
    <w:p>
      <w:r>
        <w:pict>
          <v:shape id="_x0000_s1043" o:spid="_x0000_s1043" o:spt="75" type="#_x0000_t75" style="position:absolute;left:0pt;margin-left:-90pt;margin-top:23.25pt;height:294pt;width:258pt;z-index:-251640832;mso-width-relative:page;mso-height-relative:page;" filled="f" coordsize="21600,21600">
            <v:path/>
            <v:fill on="f" focussize="0,0"/>
            <v:stroke/>
            <v:imagedata r:id="rId14" o:title="7"/>
            <o:lock v:ext="edit" aspectratio="t"/>
          </v:shape>
        </w:pict>
      </w:r>
    </w:p>
    <w:p>
      <w:pPr>
        <w:spacing w:line="276" w:lineRule="auto"/>
        <w:ind w:left="2692" w:leftChars="1282" w:right="84" w:rightChars="40" w:firstLine="420" w:firstLineChars="200"/>
        <w:rPr>
          <w:rFonts w:asciiTheme="minorEastAsia" w:hAnsiTheme="minorEastAsia"/>
        </w:rPr>
      </w:pPr>
      <w:r>
        <w:rPr>
          <w:rFonts w:hint="eastAsia" w:asciiTheme="minorEastAsia" w:hAnsiTheme="minorEastAsia"/>
        </w:rPr>
        <w:t>访问学者的参加者是高校教师、科研机构的研究人员、医生、律师、媒体工作者、企业高管、政府官员等。</w:t>
      </w:r>
    </w:p>
    <w:p>
      <w:pPr>
        <w:spacing w:line="276" w:lineRule="auto"/>
        <w:ind w:left="2692" w:leftChars="1282" w:right="84" w:rightChars="40" w:firstLine="420" w:firstLineChars="200"/>
        <w:rPr>
          <w:rFonts w:asciiTheme="minorEastAsia" w:hAnsiTheme="minorEastAsia"/>
        </w:rPr>
      </w:pPr>
      <w:r>
        <w:rPr>
          <w:rFonts w:asciiTheme="minorEastAsia" w:hAnsiTheme="minorEastAsia"/>
        </w:rPr>
        <w:t>目前国际著名学校或研究机构对于访问学者的身份要求已经较为宽松，只要符合接收机构资质要求的人士都可参加。</w:t>
      </w:r>
    </w:p>
    <w:p/>
    <w:p/>
    <w:p/>
    <w:p/>
    <w:p/>
    <w:p/>
    <w:p/>
    <w:p/>
    <w:p/>
    <w:p/>
    <w:p/>
    <w:p/>
    <w:p>
      <w:r>
        <w:pict>
          <v:shape id="_x0000_s1040" o:spid="_x0000_s1040" o:spt="75" type="#_x0000_t75" style="position:absolute;left:0pt;margin-left:-89.25pt;margin-top:18pt;height:320.25pt;width:594.3pt;z-index:-251641856;mso-width-relative:page;mso-height-relative:page;" filled="f" coordsize="21600,21600">
            <v:path/>
            <v:fill on="f" focussize="0,0"/>
            <v:stroke/>
            <v:imagedata r:id="rId15" o:title="9"/>
            <o:lock v:ext="edit" aspectratio="t"/>
          </v:shape>
        </w:pict>
      </w:r>
    </w:p>
    <w:p/>
    <w:p/>
    <w:p/>
    <w:p/>
    <w:p/>
    <w:p/>
    <w:p/>
    <w:p/>
    <w:p/>
    <w:p/>
    <w:p/>
    <w:p/>
    <w:p/>
    <w:p/>
    <w:p/>
    <w:p/>
    <w:p>
      <w:pPr>
        <w:ind w:left="850" w:leftChars="405"/>
      </w:pPr>
      <w:r>
        <w:pict>
          <v:shape id="_x0000_s1046" o:spid="_x0000_s1046" o:spt="75" type="#_x0000_t75" style="position:absolute;left:0pt;margin-left:92.25pt;margin-top:0.05pt;height:80.35pt;width:239.25pt;z-index:-251639808;mso-width-relative:page;mso-height-relative:page;" filled="f" coordsize="21600,21600">
            <v:path/>
            <v:fill on="f" focussize="0,0"/>
            <v:stroke/>
            <v:imagedata r:id="rId16" o:title="10"/>
            <o:lock v:ext="edit" aspectratio="t"/>
          </v:shape>
        </w:pict>
      </w:r>
    </w:p>
    <w:p/>
    <w:p/>
    <w:p/>
    <w:p/>
    <w:p/>
    <w:p/>
    <w:p/>
    <w:p>
      <w:r>
        <w:pict>
          <v:shape id="_x0000_s1047" o:spid="_x0000_s1047" o:spt="75" type="#_x0000_t75" style="position:absolute;left:0pt;margin-left:0pt;margin-top:2pt;height:38.35pt;width:227.25pt;z-index:-251638784;mso-width-relative:page;mso-height-relative:page;" filled="f" coordsize="21600,21600">
            <v:path/>
            <v:fill on="f" focussize="0,0"/>
            <v:stroke/>
            <v:imagedata r:id="rId17" o:title="1"/>
            <o:lock v:ext="edit" aspectratio="t"/>
          </v:shape>
        </w:pict>
      </w:r>
    </w:p>
    <w:p/>
    <w:p/>
    <w:p/>
    <w:p/>
    <w:p>
      <w:pPr>
        <w:pStyle w:val="7"/>
        <w:numPr>
          <w:ilvl w:val="0"/>
          <w:numId w:val="1"/>
        </w:numPr>
        <w:spacing w:line="276" w:lineRule="auto"/>
        <w:ind w:left="993" w:right="651" w:rightChars="310" w:firstLineChars="0"/>
      </w:pPr>
      <w:r>
        <w:rPr>
          <w:rFonts w:hint="eastAsia"/>
        </w:rPr>
        <w:t>相对于博士后而言，访问学者的申请资质相对宽松，对学位要求不严格；</w:t>
      </w:r>
    </w:p>
    <w:p>
      <w:pPr>
        <w:pStyle w:val="7"/>
        <w:numPr>
          <w:ilvl w:val="0"/>
          <w:numId w:val="1"/>
        </w:numPr>
        <w:spacing w:line="276" w:lineRule="auto"/>
        <w:ind w:left="993" w:right="651" w:rightChars="310" w:firstLineChars="0"/>
      </w:pPr>
      <w:r>
        <w:pict>
          <v:shape id="_x0000_s1050" o:spid="_x0000_s1050" o:spt="75" type="#_x0000_t75" style="position:absolute;left:0pt;margin-left:240pt;margin-top:7.3pt;height:540.7pt;width:264pt;z-index:-251636736;mso-width-relative:page;mso-height-relative:page;" filled="f" coordsize="21600,21600">
            <v:path/>
            <v:fill on="f" focussize="0,0"/>
            <v:stroke/>
            <v:imagedata r:id="rId18" o:title="11"/>
            <o:lock v:ext="edit" aspectratio="t"/>
          </v:shape>
        </w:pict>
      </w:r>
      <w:r>
        <w:rPr>
          <w:rFonts w:hint="eastAsia"/>
        </w:rPr>
        <w:t>无科研绩效压力，访问学者没有研究成果的压力，博士后则有明确的科研绩效考核标准；</w:t>
      </w:r>
    </w:p>
    <w:p>
      <w:pPr>
        <w:pStyle w:val="7"/>
        <w:numPr>
          <w:ilvl w:val="0"/>
          <w:numId w:val="1"/>
        </w:numPr>
        <w:spacing w:line="276" w:lineRule="auto"/>
        <w:ind w:left="993" w:right="651" w:rightChars="310" w:firstLineChars="0"/>
      </w:pPr>
      <w:r>
        <w:rPr>
          <w:rFonts w:hint="eastAsia"/>
        </w:rPr>
        <w:t>对于年龄的要求宽松，没有</w:t>
      </w:r>
      <w:r>
        <w:t>35周岁</w:t>
      </w:r>
      <w:bookmarkStart w:id="0" w:name="_GoBack"/>
      <w:bookmarkEnd w:id="0"/>
      <w:r>
        <w:t>和毕业五年的限制；</w:t>
      </w:r>
    </w:p>
    <w:p>
      <w:pPr>
        <w:pStyle w:val="7"/>
        <w:numPr>
          <w:ilvl w:val="0"/>
          <w:numId w:val="1"/>
        </w:numPr>
        <w:spacing w:line="276" w:lineRule="auto"/>
        <w:ind w:left="993" w:right="651" w:rightChars="310" w:firstLineChars="0"/>
      </w:pPr>
      <w:r>
        <w:rPr>
          <w:rFonts w:hint="eastAsia"/>
        </w:rPr>
        <w:t>时间灵活，一般访问学者为</w:t>
      </w:r>
      <w:r>
        <w:t>3个月~12个月，而博士后则一般要求2年或更长</w:t>
      </w:r>
    </w:p>
    <w:p/>
    <w:p/>
    <w:p/>
    <w:p/>
    <w:p>
      <w:r>
        <w:pict>
          <v:shape id="_x0000_s1049" o:spid="_x0000_s1049" o:spt="75" type="#_x0000_t75" style="position:absolute;left:0pt;margin-left:3pt;margin-top:12.7pt;height:64.4pt;width:214.5pt;z-index:-251637760;mso-width-relative:page;mso-height-relative:page;" filled="f" coordsize="21600,21600">
            <v:path/>
            <v:fill on="f" focussize="0,0"/>
            <v:stroke/>
            <v:imagedata r:id="rId19" o:title="12"/>
            <o:lock v:ext="edit" aspectratio="t"/>
          </v:shape>
        </w:pict>
      </w:r>
    </w:p>
    <w:p/>
    <w:p/>
    <w:p/>
    <w:p/>
    <w:p/>
    <w:p/>
    <w:p/>
    <w:p>
      <w:pPr>
        <w:pStyle w:val="7"/>
        <w:numPr>
          <w:ilvl w:val="0"/>
          <w:numId w:val="1"/>
        </w:numPr>
        <w:spacing w:line="276" w:lineRule="auto"/>
        <w:ind w:left="993" w:right="651" w:rightChars="310" w:firstLineChars="0"/>
      </w:pPr>
      <w:r>
        <w:rPr>
          <w:rFonts w:hint="eastAsia"/>
        </w:rPr>
        <w:t>访学期间可以实现爱人或者子女随迁，可以让家人或者子女享受国外的医疗、教育等先进服务；</w:t>
      </w:r>
    </w:p>
    <w:p>
      <w:pPr>
        <w:pStyle w:val="7"/>
        <w:numPr>
          <w:ilvl w:val="0"/>
          <w:numId w:val="1"/>
        </w:numPr>
        <w:spacing w:line="276" w:lineRule="auto"/>
        <w:ind w:left="993" w:right="651" w:rightChars="310" w:firstLineChars="0"/>
      </w:pPr>
      <w:r>
        <w:rPr>
          <w:rFonts w:hint="eastAsia"/>
        </w:rPr>
        <w:t>访学超过</w:t>
      </w:r>
      <w:r>
        <w:t>6个月可以申请留学回国人员证明，享受留学回国人员待遇，如购置免税车等优惠项目（各地政策有所不同，具体情况请单独咨询）；</w:t>
      </w:r>
    </w:p>
    <w:p>
      <w:pPr>
        <w:pStyle w:val="7"/>
        <w:numPr>
          <w:ilvl w:val="0"/>
          <w:numId w:val="1"/>
        </w:numPr>
        <w:spacing w:line="276" w:lineRule="auto"/>
        <w:ind w:left="993" w:right="651" w:rightChars="310" w:firstLineChars="0"/>
      </w:pPr>
      <w:r>
        <w:rPr>
          <w:rFonts w:hint="eastAsia"/>
        </w:rPr>
        <w:t>访问学者一般都选择行业大咖、业界领军人物作为合作导师，通过访学交流活动可以使其成为你的强关系资源，而访学期间的各种学术活动也可以让你接触更多的领域内关键人士，大大提升你的人力资本背景；</w:t>
      </w:r>
    </w:p>
    <w:p/>
    <w:p/>
    <w:p/>
    <w:p/>
    <w:p>
      <w:r>
        <w:pict>
          <v:shape id="_x0000_s1052" o:spid="_x0000_s1052" o:spt="75" type="#_x0000_t75" style="position:absolute;left:0pt;margin-left:-90pt;margin-top:-71.95pt;height:805.5pt;width:593.15pt;z-index:-251653120;mso-width-relative:page;mso-height-relative:page;" filled="f" coordsize="21600,21600">
            <v:path/>
            <v:fill on="f" focussize="0,0"/>
            <v:stroke/>
            <v:imagedata r:id="rId20" o:title="2"/>
            <o:lock v:ext="edit" aspectratio="t"/>
          </v:shape>
        </w:pict>
      </w:r>
      <w:r>
        <w:pict>
          <v:shape id="_x0000_s1051" o:spid="_x0000_s1051" o:spt="75" type="#_x0000_t75" style="position:absolute;left:0pt;margin-left:31.5pt;margin-top:0pt;height:48pt;width:257.25pt;z-index:-251635712;mso-width-relative:page;mso-height-relative:page;" filled="f" coordsize="21600,21600">
            <v:path/>
            <v:fill on="f" focussize="0,0"/>
            <v:stroke/>
            <v:imagedata r:id="rId21" o:title="3"/>
            <o:lock v:ext="edit" aspectratio="t"/>
          </v:shape>
        </w:pict>
      </w:r>
    </w:p>
    <w:p/>
    <w:p/>
    <w:p/>
    <w:p/>
    <w:p>
      <w:pPr>
        <w:pStyle w:val="7"/>
        <w:numPr>
          <w:ilvl w:val="0"/>
          <w:numId w:val="1"/>
        </w:numPr>
        <w:spacing w:line="276" w:lineRule="auto"/>
        <w:ind w:left="851" w:right="-57" w:rightChars="-27" w:firstLineChars="0"/>
        <w:rPr>
          <w:b/>
          <w:sz w:val="24"/>
          <w:szCs w:val="24"/>
        </w:rPr>
      </w:pPr>
      <w:r>
        <w:rPr>
          <w:rFonts w:hint="eastAsia"/>
          <w:b/>
          <w:sz w:val="24"/>
          <w:szCs w:val="24"/>
        </w:rPr>
        <w:t>即将成为高校或者研究机构骨干人才或者领军人物的教学及研究人员；</w:t>
      </w:r>
    </w:p>
    <w:p>
      <w:pPr>
        <w:pStyle w:val="7"/>
        <w:spacing w:line="276" w:lineRule="auto"/>
        <w:ind w:left="993" w:right="651" w:rightChars="310" w:firstLine="0" w:firstLineChars="0"/>
      </w:pPr>
    </w:p>
    <w:p>
      <w:pPr>
        <w:pStyle w:val="7"/>
        <w:numPr>
          <w:ilvl w:val="0"/>
          <w:numId w:val="1"/>
        </w:numPr>
        <w:spacing w:line="276" w:lineRule="auto"/>
        <w:ind w:left="2552" w:right="-1191" w:rightChars="-567" w:firstLineChars="0"/>
        <w:rPr>
          <w:b/>
          <w:sz w:val="24"/>
          <w:szCs w:val="24"/>
        </w:rPr>
      </w:pPr>
      <w:r>
        <w:rPr>
          <w:rFonts w:hint="eastAsia"/>
          <w:b/>
          <w:sz w:val="24"/>
          <w:szCs w:val="24"/>
        </w:rPr>
        <w:t>正在申请海外博士或者博士后工作岗位，但尚未达到条件的人士；</w:t>
      </w:r>
    </w:p>
    <w:p>
      <w:pPr>
        <w:pStyle w:val="7"/>
        <w:spacing w:line="276" w:lineRule="auto"/>
        <w:ind w:left="1985" w:right="-340" w:rightChars="-162" w:firstLine="0" w:firstLineChars="0"/>
      </w:pPr>
    </w:p>
    <w:p>
      <w:pPr>
        <w:pStyle w:val="7"/>
        <w:numPr>
          <w:ilvl w:val="0"/>
          <w:numId w:val="1"/>
        </w:numPr>
        <w:spacing w:line="276" w:lineRule="auto"/>
        <w:ind w:left="4253" w:right="-1758" w:rightChars="-837" w:firstLineChars="0"/>
        <w:rPr>
          <w:b/>
          <w:sz w:val="24"/>
          <w:szCs w:val="24"/>
        </w:rPr>
      </w:pPr>
      <w:r>
        <w:rPr>
          <w:rFonts w:hint="eastAsia"/>
          <w:b/>
          <w:sz w:val="24"/>
          <w:szCs w:val="24"/>
        </w:rPr>
        <w:t>需要获得领域内前沿身份，但是简历尚有缺陷的人士；</w:t>
      </w:r>
    </w:p>
    <w:p>
      <w:pPr>
        <w:spacing w:line="276" w:lineRule="auto"/>
        <w:ind w:left="573" w:right="651" w:rightChars="310"/>
      </w:pPr>
    </w:p>
    <w:p/>
    <w:p/>
    <w:p/>
    <w:p/>
    <w:p/>
    <w:p/>
    <w:p/>
    <w:p/>
    <w:p/>
    <w:p/>
    <w:p/>
    <w:p/>
    <w:p/>
    <w:p/>
    <w:p/>
    <w:p/>
    <w:p/>
    <w:p/>
    <w:p/>
    <w:p/>
    <w:p/>
    <w:p/>
    <w:p/>
    <w:p/>
    <w:p/>
    <w:p/>
    <w:p/>
    <w:p/>
    <w:p/>
    <w:p/>
    <w:p>
      <w:r>
        <w:pict>
          <v:shape id="_x0000_s1057" o:spid="_x0000_s1057" o:spt="75" type="#_x0000_t75" style="position:absolute;left:0pt;margin-left:63.75pt;margin-top:-1.45pt;height:53.65pt;width:305.45pt;z-index:-251632640;mso-width-relative:page;mso-height-relative:page;" filled="f" coordsize="21600,21600">
            <v:path/>
            <v:fill on="f" focussize="0,0"/>
            <v:stroke/>
            <v:imagedata r:id="rId22" o:title="b1"/>
            <o:lock v:ext="edit" aspectratio="t"/>
          </v:shape>
        </w:pict>
      </w:r>
      <w:r>
        <w:pict>
          <v:shape id="_x0000_s1053" o:spid="_x0000_s1053" o:spt="75" type="#_x0000_t75" style="position:absolute;left:0pt;margin-left:-90pt;margin-top:-36.7pt;height:805.7pt;width:592.5pt;z-index:-251654144;mso-width-relative:page;mso-height-relative:page;" filled="f" coordsize="21600,21600">
            <v:path/>
            <v:fill on="f" focussize="0,0"/>
            <v:stroke/>
            <v:imagedata r:id="rId23" o:title="第五页"/>
            <o:lock v:ext="edit" aspectratio="t"/>
          </v:shape>
        </w:pict>
      </w:r>
    </w:p>
    <w:p/>
    <w:p/>
    <w:p/>
    <w:p/>
    <w:p/>
    <w:p>
      <w:pPr>
        <w:spacing w:line="360" w:lineRule="auto"/>
        <w:ind w:right="3769" w:rightChars="1795" w:firstLine="420" w:firstLineChars="200"/>
      </w:pPr>
      <w:r>
        <w:t>访问学者的目标机构较博士后来的宽泛的多，除了接收博士后申请的著名高校研究系所和行业内具有影响力的企业实验室之外，一些智库机构、非政府组织等也非常欢迎访问学者的交流活动。</w:t>
      </w:r>
    </w:p>
    <w:p>
      <w:pPr>
        <w:spacing w:line="360" w:lineRule="auto"/>
        <w:ind w:right="3486" w:rightChars="1660"/>
      </w:pPr>
      <w:r>
        <w:t xml:space="preserve">    一般来说，公派的访问学者（含博士后项目）对于接收机构有着明确的定向要求，而其他形式的访问学者可选空间就很广泛了，根据申请者和合作导师的意愿即可成行。</w:t>
      </w:r>
    </w:p>
    <w:p/>
    <w:p/>
    <w:p/>
    <w:p/>
    <w:p/>
    <w:p/>
    <w:p/>
    <w:p/>
    <w:p>
      <w:r>
        <w:drawing>
          <wp:anchor distT="0" distB="0" distL="114300" distR="114300" simplePos="0" relativeHeight="251706368" behindDoc="1" locked="0" layoutInCell="1" allowOverlap="1">
            <wp:simplePos x="0" y="0"/>
            <wp:positionH relativeFrom="column">
              <wp:posOffset>-504825</wp:posOffset>
            </wp:positionH>
            <wp:positionV relativeFrom="paragraph">
              <wp:posOffset>154305</wp:posOffset>
            </wp:positionV>
            <wp:extent cx="2896235" cy="50482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96101" cy="504825"/>
                    </a:xfrm>
                    <a:prstGeom prst="rect">
                      <a:avLst/>
                    </a:prstGeom>
                    <a:noFill/>
                    <a:ln>
                      <a:noFill/>
                    </a:ln>
                  </pic:spPr>
                </pic:pic>
              </a:graphicData>
            </a:graphic>
          </wp:anchor>
        </w:drawing>
      </w:r>
    </w:p>
    <w:p/>
    <w:p/>
    <w:p/>
    <w:p>
      <w:pPr>
        <w:spacing w:line="360" w:lineRule="auto"/>
        <w:ind w:firstLine="420" w:firstLineChars="200"/>
      </w:pPr>
      <w:r>
        <w:rPr>
          <w:rFonts w:hint="eastAsia"/>
        </w:rPr>
        <w:t>人文、艺术和社会科学类的访问学者接收机构相对较为固定，选择的原则是根据自己的研究方向、兴趣以及研究机构的权威性、学界影响力等多种因素综合考虑。也有一些需要参加交流项目的访问学者需要根据自己的研究目标来确定。</w:t>
      </w:r>
    </w:p>
    <w:p>
      <w:pPr>
        <w:spacing w:line="360" w:lineRule="auto"/>
        <w:ind w:firstLine="420" w:firstLineChars="200"/>
      </w:pPr>
      <w:r>
        <w:rPr>
          <w:rFonts w:hint="eastAsia"/>
        </w:rPr>
        <w:t>理工科及医学分类可以选择的合作机构数量较多，一般根据申请人的既往研究成果和自己设定的研究目标来联系确定前往的科研机构。根据项目的不同和所去院所、实验室的资金状况，可能会有资助，也可能需要申请人自行承担生活费用和社保费用，具体需要根据申请条件来确定。</w:t>
      </w:r>
    </w:p>
    <w:p>
      <w:pPr>
        <w:spacing w:line="360" w:lineRule="auto"/>
        <w:ind w:firstLine="420" w:firstLineChars="200"/>
      </w:pPr>
      <w:r>
        <w:rPr>
          <w:rFonts w:hint="eastAsia"/>
        </w:rPr>
        <w:t>一般来说，在理工或者医学项目的申请过程中，建议选择设备和资金都比较充裕的企业实验室、大学等科研机构，成果较有保障。</w:t>
      </w:r>
    </w:p>
    <w:p>
      <w:pPr>
        <w:widowControl/>
        <w:jc w:val="left"/>
      </w:pPr>
    </w:p>
    <w:p>
      <w:pPr>
        <w:rPr>
          <w:rFonts w:hint="eastAsia"/>
        </w:rPr>
      </w:pPr>
      <w:r>
        <w:drawing>
          <wp:anchor distT="0" distB="0" distL="114300" distR="114300" simplePos="0" relativeHeight="251655168" behindDoc="1" locked="0" layoutInCell="1" allowOverlap="1">
            <wp:simplePos x="0" y="0"/>
            <wp:positionH relativeFrom="page">
              <wp:align>left</wp:align>
            </wp:positionH>
            <wp:positionV relativeFrom="paragraph">
              <wp:posOffset>-895350</wp:posOffset>
            </wp:positionV>
            <wp:extent cx="7564755" cy="10648950"/>
            <wp:effectExtent l="0" t="0" r="0" b="0"/>
            <wp:wrapNone/>
            <wp:docPr id="5" name="图片 5" descr="C:\Users\Deckon\AppData\Local\Microsoft\Windows\INetCache\Content.Word\第六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ckon\AppData\Local\Microsoft\Windows\INetCache\Content.Word\第六页.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564755" cy="10648950"/>
                    </a:xfrm>
                    <a:prstGeom prst="rect">
                      <a:avLst/>
                    </a:prstGeom>
                    <a:noFill/>
                    <a:ln>
                      <a:noFill/>
                    </a:ln>
                  </pic:spPr>
                </pic:pic>
              </a:graphicData>
            </a:graphic>
          </wp:anchor>
        </w:drawing>
      </w:r>
    </w:p>
    <w:p/>
    <w:p>
      <w:r>
        <w:drawing>
          <wp:anchor distT="0" distB="0" distL="114300" distR="114300" simplePos="0" relativeHeight="251707392" behindDoc="1" locked="0" layoutInCell="1" allowOverlap="1">
            <wp:simplePos x="0" y="0"/>
            <wp:positionH relativeFrom="column">
              <wp:posOffset>-76200</wp:posOffset>
            </wp:positionH>
            <wp:positionV relativeFrom="paragraph">
              <wp:posOffset>203835</wp:posOffset>
            </wp:positionV>
            <wp:extent cx="1981200" cy="447675"/>
            <wp:effectExtent l="0" t="0" r="0" b="952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81200" cy="447675"/>
                    </a:xfrm>
                    <a:prstGeom prst="rect">
                      <a:avLst/>
                    </a:prstGeom>
                    <a:noFill/>
                    <a:ln>
                      <a:noFill/>
                    </a:ln>
                  </pic:spPr>
                </pic:pic>
              </a:graphicData>
            </a:graphic>
          </wp:anchor>
        </w:drawing>
      </w:r>
    </w:p>
    <w:p/>
    <w:p/>
    <w:p>
      <w:pPr>
        <w:spacing w:line="360" w:lineRule="auto"/>
        <w:rPr>
          <w:rFonts w:hint="eastAsia"/>
        </w:rPr>
      </w:pPr>
    </w:p>
    <w:p/>
    <w:tbl>
      <w:tblPr>
        <w:tblStyle w:val="5"/>
        <w:tblW w:w="808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843"/>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59" w:type="dxa"/>
            <w:tcBorders>
              <w:bottom w:val="single" w:color="auto" w:sz="4" w:space="0"/>
            </w:tcBorders>
            <w:shd w:val="clear" w:color="auto" w:fill="8496B0" w:themeFill="text2" w:themeFillTint="99"/>
          </w:tcPr>
          <w:p>
            <w:pPr>
              <w:jc w:val="center"/>
              <w:rPr>
                <w:rFonts w:eastAsiaTheme="minorHAnsi"/>
                <w:b/>
                <w:bCs/>
                <w:color w:val="FFFFFF" w:themeColor="background1"/>
                <w14:textFill>
                  <w14:solidFill>
                    <w14:schemeClr w14:val="bg1"/>
                  </w14:solidFill>
                </w14:textFill>
              </w:rPr>
            </w:pPr>
            <w:r>
              <w:rPr>
                <w:rFonts w:hint="eastAsia" w:eastAsiaTheme="minorHAnsi"/>
                <w:b/>
                <w:bCs/>
                <w:color w:val="FFFFFF" w:themeColor="background1"/>
                <w14:textFill>
                  <w14:solidFill>
                    <w14:schemeClr w14:val="bg1"/>
                  </w14:solidFill>
                </w14:textFill>
              </w:rPr>
              <w:t>项目名称</w:t>
            </w:r>
          </w:p>
        </w:tc>
        <w:tc>
          <w:tcPr>
            <w:tcW w:w="1843" w:type="dxa"/>
            <w:tcBorders>
              <w:bottom w:val="single" w:color="auto" w:sz="4" w:space="0"/>
            </w:tcBorders>
            <w:shd w:val="clear" w:color="auto" w:fill="8496B0" w:themeFill="text2" w:themeFillTint="99"/>
          </w:tcPr>
          <w:p>
            <w:pPr>
              <w:jc w:val="center"/>
              <w:rPr>
                <w:rFonts w:eastAsiaTheme="minorHAnsi"/>
                <w:b/>
                <w:bCs/>
                <w:color w:val="FFFFFF" w:themeColor="background1"/>
                <w14:textFill>
                  <w14:solidFill>
                    <w14:schemeClr w14:val="bg1"/>
                  </w14:solidFill>
                </w14:textFill>
              </w:rPr>
            </w:pPr>
            <w:r>
              <w:rPr>
                <w:rFonts w:hint="eastAsia" w:eastAsiaTheme="minorHAnsi"/>
                <w:b/>
                <w:bCs/>
                <w:color w:val="FFFFFF" w:themeColor="background1"/>
                <w14:textFill>
                  <w14:solidFill>
                    <w14:schemeClr w14:val="bg1"/>
                  </w14:solidFill>
                </w14:textFill>
              </w:rPr>
              <w:t>专业方向</w:t>
            </w:r>
          </w:p>
        </w:tc>
        <w:tc>
          <w:tcPr>
            <w:tcW w:w="4678" w:type="dxa"/>
            <w:tcBorders>
              <w:bottom w:val="single" w:color="auto" w:sz="4" w:space="0"/>
            </w:tcBorders>
            <w:shd w:val="clear" w:color="auto" w:fill="8496B0" w:themeFill="text2" w:themeFillTint="99"/>
          </w:tcPr>
          <w:p>
            <w:pPr>
              <w:jc w:val="center"/>
              <w:rPr>
                <w:rFonts w:eastAsiaTheme="minorHAnsi"/>
                <w:b/>
                <w:bCs/>
                <w:color w:val="FFFFFF" w:themeColor="background1"/>
                <w14:textFill>
                  <w14:solidFill>
                    <w14:schemeClr w14:val="bg1"/>
                  </w14:solidFill>
                </w14:textFill>
              </w:rPr>
            </w:pPr>
            <w:r>
              <w:rPr>
                <w:rFonts w:hint="eastAsia" w:eastAsiaTheme="minorHAnsi"/>
                <w:b/>
                <w:bCs/>
                <w:color w:val="FFFFFF" w:themeColor="background1"/>
                <w14:textFill>
                  <w14:solidFill>
                    <w14:schemeClr w14:val="bg1"/>
                  </w14:solidFill>
                </w14:textFill>
              </w:rPr>
              <w:t>前往机构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559"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宾夕法尼亚大学</w:t>
            </w:r>
          </w:p>
        </w:tc>
        <w:tc>
          <w:tcPr>
            <w:tcW w:w="1843"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金融及金融管理</w:t>
            </w:r>
          </w:p>
        </w:tc>
        <w:tc>
          <w:tcPr>
            <w:tcW w:w="4678"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沃顿商学院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559"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康奈尔大学</w:t>
            </w:r>
          </w:p>
        </w:tc>
        <w:tc>
          <w:tcPr>
            <w:tcW w:w="1843"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古典文学</w:t>
            </w:r>
          </w:p>
          <w:p>
            <w:pPr>
              <w:rPr>
                <w:rFonts w:asciiTheme="minorEastAsia" w:hAnsiTheme="minorEastAsia"/>
                <w:sz w:val="18"/>
                <w:szCs w:val="18"/>
              </w:rPr>
            </w:pPr>
            <w:r>
              <w:rPr>
                <w:rFonts w:hint="eastAsia" w:asciiTheme="minorEastAsia" w:hAnsiTheme="minorEastAsia"/>
                <w:sz w:val="18"/>
                <w:szCs w:val="18"/>
              </w:rPr>
              <w:t>表演与媒体艺术</w:t>
            </w:r>
          </w:p>
        </w:tc>
        <w:tc>
          <w:tcPr>
            <w:tcW w:w="4678"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康奈尔大学人文艺术学院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559"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哈佛大学</w:t>
            </w:r>
          </w:p>
        </w:tc>
        <w:tc>
          <w:tcPr>
            <w:tcW w:w="1843"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现代中国研究</w:t>
            </w:r>
          </w:p>
          <w:p>
            <w:pPr>
              <w:rPr>
                <w:rFonts w:asciiTheme="minorEastAsia" w:hAnsiTheme="minorEastAsia"/>
                <w:sz w:val="18"/>
                <w:szCs w:val="18"/>
              </w:rPr>
            </w:pPr>
            <w:r>
              <w:rPr>
                <w:rFonts w:hint="eastAsia" w:asciiTheme="minorEastAsia" w:hAnsiTheme="minorEastAsia"/>
                <w:sz w:val="18"/>
                <w:szCs w:val="18"/>
              </w:rPr>
              <w:t>历史学</w:t>
            </w:r>
          </w:p>
        </w:tc>
        <w:tc>
          <w:tcPr>
            <w:tcW w:w="4678"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费正清东亚研究中心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9"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普渡大学</w:t>
            </w:r>
          </w:p>
        </w:tc>
        <w:tc>
          <w:tcPr>
            <w:tcW w:w="1843"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宗教学</w:t>
            </w:r>
          </w:p>
        </w:tc>
        <w:tc>
          <w:tcPr>
            <w:tcW w:w="4678"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中国宗教与社会研究中心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9"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耶鲁大学</w:t>
            </w:r>
          </w:p>
        </w:tc>
        <w:tc>
          <w:tcPr>
            <w:tcW w:w="1843"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护理学</w:t>
            </w:r>
          </w:p>
          <w:p>
            <w:pPr>
              <w:rPr>
                <w:rFonts w:asciiTheme="minorEastAsia" w:hAnsiTheme="minorEastAsia"/>
                <w:sz w:val="18"/>
                <w:szCs w:val="18"/>
              </w:rPr>
            </w:pPr>
            <w:r>
              <w:rPr>
                <w:rFonts w:hint="eastAsia" w:asciiTheme="minorEastAsia" w:hAnsiTheme="minorEastAsia"/>
                <w:sz w:val="18"/>
                <w:szCs w:val="18"/>
              </w:rPr>
              <w:t>成瘾性研究</w:t>
            </w:r>
          </w:p>
        </w:tc>
        <w:tc>
          <w:tcPr>
            <w:tcW w:w="4678"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耶鲁大学医学院</w:t>
            </w:r>
          </w:p>
          <w:p>
            <w:pPr>
              <w:rPr>
                <w:rFonts w:asciiTheme="minorEastAsia" w:hAnsiTheme="minorEastAsia"/>
                <w:sz w:val="18"/>
                <w:szCs w:val="18"/>
              </w:rPr>
            </w:pPr>
            <w:r>
              <w:rPr>
                <w:rFonts w:hint="eastAsia" w:asciiTheme="minorEastAsia" w:hAnsiTheme="minorEastAsia"/>
                <w:sz w:val="18"/>
                <w:szCs w:val="18"/>
              </w:rPr>
              <w:t>N</w:t>
            </w:r>
            <w:r>
              <w:rPr>
                <w:rFonts w:asciiTheme="minorEastAsia" w:hAnsiTheme="minorEastAsia"/>
                <w:sz w:val="18"/>
                <w:szCs w:val="18"/>
              </w:rPr>
              <w:t>IH</w:t>
            </w:r>
            <w:r>
              <w:rPr>
                <w:rFonts w:hint="eastAsia" w:asciiTheme="minorEastAsia" w:hAnsiTheme="minorEastAsia"/>
                <w:sz w:val="18"/>
                <w:szCs w:val="18"/>
              </w:rPr>
              <w:t>（</w:t>
            </w:r>
            <w:r>
              <w:rPr>
                <w:rFonts w:asciiTheme="minorEastAsia" w:hAnsiTheme="minorEastAsia"/>
                <w:sz w:val="18"/>
                <w:szCs w:val="18"/>
              </w:rPr>
              <w:t>National Institutes of Health</w:t>
            </w:r>
            <w:r>
              <w:rPr>
                <w:rFonts w:hint="eastAsia" w:asciiTheme="minorEastAsia" w:hAnsiTheme="minorEastAsia"/>
                <w:sz w:val="18"/>
                <w:szCs w:val="18"/>
              </w:rPr>
              <w:t>，美国国立卫生研究院）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9"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魁北克大学</w:t>
            </w:r>
          </w:p>
        </w:tc>
        <w:tc>
          <w:tcPr>
            <w:tcW w:w="1843" w:type="dxa"/>
            <w:shd w:val="clear" w:color="auto" w:fill="D9E2F3" w:themeFill="accent5" w:themeFillTint="33"/>
          </w:tcPr>
          <w:p>
            <w:pPr>
              <w:rPr>
                <w:rFonts w:asciiTheme="minorEastAsia" w:hAnsiTheme="minorEastAsia"/>
                <w:sz w:val="18"/>
                <w:szCs w:val="18"/>
              </w:rPr>
            </w:pPr>
            <w:r>
              <w:rPr>
                <w:rFonts w:hint="eastAsia" w:asciiTheme="minorEastAsia" w:hAnsiTheme="minorEastAsia"/>
                <w:sz w:val="18"/>
                <w:szCs w:val="18"/>
              </w:rPr>
              <w:t>生态学</w:t>
            </w:r>
          </w:p>
          <w:p>
            <w:pPr>
              <w:rPr>
                <w:rFonts w:asciiTheme="minorEastAsia" w:hAnsiTheme="minorEastAsia"/>
                <w:sz w:val="18"/>
                <w:szCs w:val="18"/>
              </w:rPr>
            </w:pPr>
            <w:r>
              <w:rPr>
                <w:rFonts w:hint="eastAsia" w:asciiTheme="minorEastAsia" w:hAnsiTheme="minorEastAsia"/>
                <w:sz w:val="18"/>
                <w:szCs w:val="18"/>
              </w:rPr>
              <w:t>城市规划及文化遗产</w:t>
            </w:r>
          </w:p>
        </w:tc>
        <w:tc>
          <w:tcPr>
            <w:tcW w:w="4678" w:type="dxa"/>
            <w:shd w:val="clear" w:color="auto" w:fill="D9E2F3" w:themeFill="accent5" w:themeFillTint="33"/>
          </w:tcPr>
          <w:p>
            <w:pPr>
              <w:rPr>
                <w:rFonts w:asciiTheme="minorEastAsia" w:hAnsiTheme="minorEastAsia"/>
                <w:sz w:val="18"/>
                <w:szCs w:val="18"/>
              </w:rPr>
            </w:pPr>
          </w:p>
        </w:tc>
      </w:tr>
    </w:tbl>
    <w:p/>
    <w:p/>
    <w:p/>
    <w:p/>
    <w:p/>
    <w:p/>
    <w:p/>
    <w:p/>
    <w:p/>
    <w:p/>
    <w:p/>
    <w:p/>
    <w:p/>
    <w:p/>
    <w:p/>
    <w:p/>
    <w:p/>
    <w:p/>
    <w:p>
      <w:pPr>
        <w:rPr>
          <w:rFonts w:hint="eastAsia"/>
        </w:rPr>
      </w:pPr>
    </w:p>
    <w:p>
      <w:pPr>
        <w:widowControl/>
        <w:jc w:val="left"/>
      </w:pPr>
      <w:r>
        <w:br w:type="page"/>
      </w:r>
    </w:p>
    <w:p>
      <w:r>
        <w:drawing>
          <wp:anchor distT="0" distB="0" distL="114300" distR="114300" simplePos="0" relativeHeight="251654144" behindDoc="1" locked="0" layoutInCell="1" allowOverlap="1">
            <wp:simplePos x="0" y="0"/>
            <wp:positionH relativeFrom="page">
              <wp:align>left</wp:align>
            </wp:positionH>
            <wp:positionV relativeFrom="paragraph">
              <wp:posOffset>-904875</wp:posOffset>
            </wp:positionV>
            <wp:extent cx="7553325" cy="10658475"/>
            <wp:effectExtent l="0" t="0" r="9525" b="9525"/>
            <wp:wrapNone/>
            <wp:docPr id="6" name="图片 6" descr="C:\Users\Deckon\AppData\Local\Microsoft\Windows\INetCache\Content.Word\第七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ckon\AppData\Local\Microsoft\Windows\INetCache\Content.Word\第七页.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553325" cy="10658475"/>
                    </a:xfrm>
                    <a:prstGeom prst="rect">
                      <a:avLst/>
                    </a:prstGeom>
                    <a:noFill/>
                    <a:ln>
                      <a:noFill/>
                    </a:ln>
                  </pic:spPr>
                </pic:pic>
              </a:graphicData>
            </a:graphic>
          </wp:anchor>
        </w:drawing>
      </w:r>
    </w:p>
    <w:p>
      <w:r>
        <w:pict>
          <v:shape id="_x0000_s1059" o:spid="_x0000_s1059" o:spt="75" type="#_x0000_t75" style="position:absolute;left:0pt;margin-left:8.6pt;margin-top:2.45pt;height:71.15pt;width:392.8pt;z-index:-251628544;mso-width-relative:page;mso-height-relative:page;" filled="f" coordsize="21600,21600">
            <v:path/>
            <v:fill on="f" focussize="0,0"/>
            <v:stroke/>
            <v:imagedata r:id="rId28" o:title="∪"/>
            <o:lock v:ext="edit" aspectratio="t"/>
          </v:shape>
        </w:pict>
      </w:r>
    </w:p>
    <w:p/>
    <w:p/>
    <w:p/>
    <w:p/>
    <w:p/>
    <w:p>
      <w:pPr>
        <w:rPr>
          <w:rFonts w:ascii="方正粗倩简体" w:eastAsia="方正粗倩简体"/>
          <w:b/>
          <w:sz w:val="28"/>
          <w:szCs w:val="28"/>
        </w:rPr>
      </w:pPr>
      <w:r>
        <w:rPr>
          <w:rFonts w:hint="eastAsia" w:ascii="方正粗倩简体" w:eastAsia="方正粗倩简体"/>
          <w:b/>
          <w:color w:val="1F4E79" w:themeColor="accent1" w:themeShade="80"/>
          <w:sz w:val="28"/>
          <w:szCs w:val="28"/>
        </w:rPr>
        <w:t>所需材料</w:t>
      </w:r>
    </w:p>
    <w:p>
      <w:pPr>
        <w:pStyle w:val="7"/>
        <w:numPr>
          <w:ilvl w:val="0"/>
          <w:numId w:val="2"/>
        </w:numPr>
        <w:spacing w:line="360" w:lineRule="auto"/>
        <w:ind w:left="993" w:firstLineChars="0"/>
        <w:rPr>
          <w:b/>
          <w:szCs w:val="21"/>
        </w:rPr>
      </w:pPr>
      <w:r>
        <w:rPr>
          <w:rFonts w:hint="eastAsia"/>
          <w:b/>
          <w:szCs w:val="21"/>
        </w:rPr>
        <w:t>身份证（正背，扫描件）；</w:t>
      </w:r>
    </w:p>
    <w:p>
      <w:pPr>
        <w:pStyle w:val="7"/>
        <w:numPr>
          <w:ilvl w:val="0"/>
          <w:numId w:val="2"/>
        </w:numPr>
        <w:spacing w:line="360" w:lineRule="auto"/>
        <w:ind w:left="993" w:firstLineChars="0"/>
        <w:rPr>
          <w:b/>
          <w:szCs w:val="21"/>
        </w:rPr>
      </w:pPr>
      <w:r>
        <w:rPr>
          <w:rFonts w:hint="eastAsia"/>
          <w:b/>
          <w:szCs w:val="21"/>
        </w:rPr>
        <w:t>护照（扫描件）；</w:t>
      </w:r>
    </w:p>
    <w:p>
      <w:pPr>
        <w:pStyle w:val="7"/>
        <w:numPr>
          <w:ilvl w:val="0"/>
          <w:numId w:val="2"/>
        </w:numPr>
        <w:spacing w:line="360" w:lineRule="auto"/>
        <w:ind w:left="993" w:firstLineChars="0"/>
        <w:rPr>
          <w:b/>
          <w:szCs w:val="21"/>
        </w:rPr>
      </w:pPr>
      <w:r>
        <w:rPr>
          <w:rFonts w:hint="eastAsia"/>
          <w:b/>
          <w:szCs w:val="21"/>
        </w:rPr>
        <w:t>在职证明；</w:t>
      </w:r>
    </w:p>
    <w:p>
      <w:pPr>
        <w:pStyle w:val="7"/>
        <w:numPr>
          <w:ilvl w:val="0"/>
          <w:numId w:val="2"/>
        </w:numPr>
        <w:spacing w:line="360" w:lineRule="auto"/>
        <w:ind w:left="993" w:firstLineChars="0"/>
        <w:rPr>
          <w:b/>
          <w:szCs w:val="21"/>
        </w:rPr>
      </w:pPr>
      <w:r>
        <w:rPr>
          <w:rFonts w:hint="eastAsia"/>
          <w:b/>
          <w:szCs w:val="21"/>
        </w:rPr>
        <w:t>个人简历（中英文，教育经历和研究经历要清晰）；</w:t>
      </w:r>
    </w:p>
    <w:p>
      <w:pPr>
        <w:pStyle w:val="7"/>
        <w:numPr>
          <w:ilvl w:val="0"/>
          <w:numId w:val="2"/>
        </w:numPr>
        <w:spacing w:line="360" w:lineRule="auto"/>
        <w:ind w:left="993" w:firstLineChars="0"/>
        <w:rPr>
          <w:b/>
          <w:szCs w:val="21"/>
        </w:rPr>
      </w:pPr>
      <w:r>
        <w:rPr>
          <w:rFonts w:hint="eastAsia"/>
          <w:b/>
          <w:szCs w:val="21"/>
        </w:rPr>
        <w:t>研究计划；</w:t>
      </w:r>
    </w:p>
    <w:p>
      <w:pPr>
        <w:pStyle w:val="7"/>
        <w:numPr>
          <w:ilvl w:val="0"/>
          <w:numId w:val="2"/>
        </w:numPr>
        <w:spacing w:line="360" w:lineRule="auto"/>
        <w:ind w:left="993" w:firstLineChars="0"/>
        <w:rPr>
          <w:b/>
          <w:szCs w:val="21"/>
        </w:rPr>
      </w:pPr>
      <w:r>
        <w:rPr>
          <w:rFonts w:hint="eastAsia"/>
          <w:b/>
          <w:szCs w:val="21"/>
        </w:rPr>
        <w:t>过去两年中发表的论文（期刊的封面、封底、目录及正文扫描件）；</w:t>
      </w:r>
    </w:p>
    <w:p/>
    <w:p/>
    <w:p/>
    <w:p/>
    <w:p/>
    <w:p/>
    <w:p/>
    <w:p/>
    <w:p/>
    <w:p/>
    <w:p/>
    <w:p/>
    <w:p/>
    <w:p/>
    <w:p/>
    <w:p/>
    <w:p/>
    <w:p/>
    <w:p/>
    <w:p/>
    <w:p/>
    <w:p/>
    <w:p/>
    <w:p/>
    <w:p/>
    <w:p>
      <w:pPr>
        <w:widowControl/>
        <w:jc w:val="left"/>
      </w:pPr>
      <w:r>
        <w:br w:type="page"/>
      </w:r>
    </w:p>
    <w:p>
      <w:r>
        <w:pict>
          <v:shape id="_x0000_s1060" o:spid="_x0000_s1060" o:spt="75" type="#_x0000_t75" style="position:absolute;left:0pt;margin-left:46.95pt;margin-top:-0.25pt;height:97.45pt;width:367.35pt;z-index:-251627520;mso-width-relative:page;mso-height-relative:page;" filled="f" coordsize="21600,21600">
            <v:path/>
            <v:fill on="f" focussize="0,0"/>
            <v:stroke/>
            <v:imagedata r:id="rId29" o:title="捕获b5"/>
            <o:lock v:ext="edit" aspectratio="t"/>
          </v:shape>
        </w:pict>
      </w:r>
      <w:r>
        <w:pict>
          <v:shape id="_x0000_s1054" o:spid="_x0000_s1054" o:spt="75" type="#_x0000_t75" style="position:absolute;left:0pt;margin-left:-89.25pt;margin-top:-71.95pt;height:840.7pt;width:593.95pt;z-index:-251657216;mso-width-relative:page;mso-height-relative:page;" filled="f" coordsize="21600,21600">
            <v:path/>
            <v:fill on="f" focussize="0,0"/>
            <v:stroke/>
            <v:imagedata r:id="rId30" o:title="第八页"/>
            <o:lock v:ext="edit" aspectratio="t"/>
          </v:shape>
        </w:pict>
      </w:r>
    </w:p>
    <w:p/>
    <w:p/>
    <w:p/>
    <w:p/>
    <w:p/>
    <w:p/>
    <w:p/>
    <w:p>
      <w:r>
        <w:pict>
          <v:shape id="_x0000_s1061" o:spid="_x0000_s1061" o:spt="75" type="#_x0000_t75" style="position:absolute;left:0pt;margin-left:58.85pt;margin-top:3.2pt;height:372.7pt;width:320.8pt;z-index:-251626496;mso-width-relative:page;mso-height-relative:page;" filled="f" coordsize="21600,21600">
            <v:path/>
            <v:fill on="f" focussize="0,0"/>
            <v:stroke/>
            <v:imagedata r:id="rId31" o:title="流程"/>
            <o:lock v:ext="edit" aspectratio="t"/>
          </v:shape>
        </w:pict>
      </w:r>
    </w:p>
    <w:p/>
    <w:p/>
    <w:p/>
    <w:p/>
    <w:p/>
    <w:p/>
    <w:p/>
    <w:p/>
    <w:p/>
    <w:p/>
    <w:p/>
    <w:p/>
    <w:p/>
    <w:p/>
    <w:p/>
    <w:p/>
    <w:p/>
    <w:p/>
    <w:p/>
    <w:p/>
    <w:p/>
    <w:p/>
    <w:p/>
    <w:p/>
    <w:p/>
    <w:p/>
    <w:p/>
    <w:p/>
    <w:p/>
    <w:p/>
    <w:p/>
    <w:p/>
    <w:p/>
    <w:p/>
    <w:p>
      <w:pPr>
        <w:widowControl/>
        <w:jc w:val="left"/>
      </w:pPr>
      <w:r>
        <w:br w:type="page"/>
      </w:r>
    </w:p>
    <w:p>
      <w:r>
        <w:pict>
          <v:shape id="_x0000_s1062" o:spid="_x0000_s1062" o:spt="75" type="#_x0000_t75" style="position:absolute;left:0pt;margin-left:39.5pt;margin-top:-0.05pt;height:110.45pt;width:335.65pt;z-index:-251625472;mso-width-relative:page;mso-height-relative:page;" filled="f" coordsize="21600,21600">
            <v:path/>
            <v:fill on="f" focussize="0,0"/>
            <v:stroke/>
            <v:imagedata r:id="rId32" o:title="B6"/>
            <o:lock v:ext="edit" aspectratio="t"/>
          </v:shape>
        </w:pict>
      </w:r>
    </w:p>
    <w:p/>
    <w:p/>
    <w:p>
      <w:r>
        <w:pict>
          <v:shape id="_x0000_s1055" o:spid="_x0000_s1055" o:spt="75" type="#_x0000_t75" style="position:absolute;left:0pt;margin-left:-90pt;margin-top:-32.2pt;height:802.5pt;width:593.3pt;z-index:-251634688;mso-width-relative:page;mso-height-relative:page;" filled="f" coordsize="21600,21600">
            <v:path/>
            <v:fill on="f" focussize="0,0"/>
            <v:stroke/>
            <v:imagedata r:id="rId33" o:title="第九页"/>
            <o:lock v:ext="edit" aspectratio="t"/>
          </v:shape>
        </w:pict>
      </w:r>
    </w:p>
    <w:p/>
    <w:p/>
    <w:p/>
    <w:p/>
    <w:p/>
    <w:p>
      <w:pPr>
        <w:pStyle w:val="7"/>
        <w:numPr>
          <w:ilvl w:val="0"/>
          <w:numId w:val="3"/>
        </w:numPr>
        <w:ind w:left="142" w:right="-907" w:rightChars="-432" w:firstLineChars="0"/>
        <w:rPr>
          <w:b/>
          <w:sz w:val="28"/>
          <w:szCs w:val="28"/>
        </w:rPr>
      </w:pPr>
      <w:r>
        <w:rPr>
          <w:rFonts w:hint="eastAsia"/>
          <w:b/>
          <w:sz w:val="28"/>
          <w:szCs w:val="28"/>
        </w:rPr>
        <w:t>权威</w:t>
      </w:r>
      <w:r>
        <w:rPr>
          <w:b/>
          <w:sz w:val="28"/>
          <w:szCs w:val="28"/>
        </w:rPr>
        <w:t>的海外</w:t>
      </w:r>
      <w:r>
        <w:rPr>
          <w:rFonts w:hint="eastAsia"/>
          <w:b/>
          <w:sz w:val="28"/>
          <w:szCs w:val="28"/>
        </w:rPr>
        <w:t>导师</w:t>
      </w:r>
      <w:r>
        <w:rPr>
          <w:b/>
          <w:sz w:val="28"/>
          <w:szCs w:val="28"/>
        </w:rPr>
        <w:t>资源和国内的专家支持资源，可以快速匹配合作</w:t>
      </w:r>
      <w:r>
        <w:rPr>
          <w:rFonts w:hint="eastAsia"/>
          <w:b/>
          <w:sz w:val="28"/>
          <w:szCs w:val="28"/>
        </w:rPr>
        <w:t>对象</w:t>
      </w:r>
      <w:r>
        <w:rPr>
          <w:b/>
          <w:sz w:val="28"/>
          <w:szCs w:val="28"/>
        </w:rPr>
        <w:t>；</w:t>
      </w:r>
    </w:p>
    <w:p>
      <w:pPr>
        <w:ind w:left="142" w:right="-907" w:rightChars="-432"/>
        <w:rPr>
          <w:b/>
          <w:sz w:val="28"/>
          <w:szCs w:val="28"/>
        </w:rPr>
      </w:pPr>
    </w:p>
    <w:p>
      <w:pPr>
        <w:pStyle w:val="7"/>
        <w:numPr>
          <w:ilvl w:val="0"/>
          <w:numId w:val="3"/>
        </w:numPr>
        <w:ind w:left="142" w:right="-907" w:rightChars="-432" w:firstLineChars="0"/>
        <w:rPr>
          <w:b/>
          <w:sz w:val="28"/>
          <w:szCs w:val="28"/>
        </w:rPr>
      </w:pPr>
      <w:r>
        <w:rPr>
          <w:rFonts w:hint="eastAsia"/>
          <w:b/>
          <w:sz w:val="28"/>
          <w:szCs w:val="28"/>
        </w:rPr>
        <w:t>专业</w:t>
      </w:r>
      <w:r>
        <w:rPr>
          <w:b/>
          <w:sz w:val="28"/>
          <w:szCs w:val="28"/>
        </w:rPr>
        <w:t>的</w:t>
      </w:r>
      <w:r>
        <w:rPr>
          <w:rFonts w:hint="eastAsia"/>
          <w:b/>
          <w:sz w:val="28"/>
          <w:szCs w:val="28"/>
        </w:rPr>
        <w:t>研究资源平台和论文指导专家，可以迅速优化您的资质和能力；</w:t>
      </w:r>
    </w:p>
    <w:p>
      <w:pPr>
        <w:ind w:left="142" w:right="-907" w:rightChars="-432"/>
        <w:rPr>
          <w:b/>
          <w:sz w:val="28"/>
          <w:szCs w:val="28"/>
        </w:rPr>
      </w:pPr>
    </w:p>
    <w:p>
      <w:pPr>
        <w:pStyle w:val="7"/>
        <w:numPr>
          <w:ilvl w:val="0"/>
          <w:numId w:val="3"/>
        </w:numPr>
        <w:ind w:left="142" w:right="-907" w:rightChars="-432" w:firstLineChars="0"/>
        <w:rPr>
          <w:b/>
          <w:sz w:val="28"/>
          <w:szCs w:val="28"/>
        </w:rPr>
      </w:pPr>
      <w:r>
        <w:rPr>
          <w:rFonts w:hint="eastAsia"/>
          <w:b/>
          <w:sz w:val="28"/>
          <w:szCs w:val="28"/>
        </w:rPr>
        <w:t>完善的面试指导体系，让您顺利通过导师的面试关；</w:t>
      </w:r>
    </w:p>
    <w:p>
      <w:pPr>
        <w:ind w:left="142" w:right="-907" w:rightChars="-432"/>
        <w:rPr>
          <w:b/>
          <w:sz w:val="28"/>
          <w:szCs w:val="28"/>
        </w:rPr>
      </w:pPr>
    </w:p>
    <w:p>
      <w:pPr>
        <w:pStyle w:val="7"/>
        <w:numPr>
          <w:ilvl w:val="0"/>
          <w:numId w:val="3"/>
        </w:numPr>
        <w:ind w:left="142" w:right="-907" w:rightChars="-432" w:firstLineChars="0"/>
        <w:rPr>
          <w:b/>
          <w:sz w:val="28"/>
          <w:szCs w:val="28"/>
        </w:rPr>
      </w:pPr>
      <w:r>
        <w:rPr>
          <w:rFonts w:hint="eastAsia"/>
          <w:b/>
          <w:sz w:val="28"/>
          <w:szCs w:val="28"/>
        </w:rPr>
        <w:t>丰富的媒体支持，可以全方位服务于您专家的社会定位；</w:t>
      </w:r>
    </w:p>
    <w:p/>
    <w:p/>
    <w:p/>
    <w:p/>
    <w:p/>
    <w:p/>
    <w:p/>
    <w:p/>
    <w:p/>
    <w:p/>
    <w:p/>
    <w:p/>
    <w:p/>
    <w:p/>
    <w:p/>
    <w:p/>
    <w:p/>
    <w:p/>
    <w:p/>
    <w:p/>
    <w:p>
      <w:pPr>
        <w:widowControl/>
        <w:jc w:val="left"/>
      </w:pPr>
      <w:r>
        <w:br w:type="page"/>
      </w:r>
    </w:p>
    <w:p>
      <w:r>
        <w:pict>
          <v:shape id="_x0000_s1056" o:spid="_x0000_s1056" o:spt="75" type="#_x0000_t75" style="position:absolute;left:0pt;margin-left:-88.95pt;margin-top:-37.05pt;height:805.6pt;width:594pt;z-index:-251633664;mso-width-relative:page;mso-height-relative:page;" filled="f" coordsize="21600,21600">
            <v:path/>
            <v:fill on="f" focussize="0,0"/>
            <v:stroke/>
            <v:imagedata r:id="rId34" o:title="第十页"/>
            <o:lock v:ext="edit" aspectratio="t"/>
          </v:shape>
        </w:pict>
      </w:r>
    </w:p>
    <w:p>
      <w:r>
        <w:pict>
          <v:shape id="_x0000_s1063" o:spid="_x0000_s1063" o:spt="75" type="#_x0000_t75" style="position:absolute;left:0pt;margin-left:14.85pt;margin-top:7.25pt;height:83.4pt;width:380.15pt;z-index:-251624448;mso-width-relative:page;mso-height-relative:page;" filled="f" coordsize="21600,21600">
            <v:path/>
            <v:fill on="f" focussize="0,0"/>
            <v:stroke/>
            <v:imagedata r:id="rId35" o:title="另存"/>
            <o:lock v:ext="edit" aspectratio="t"/>
          </v:shape>
        </w:pict>
      </w:r>
    </w:p>
    <w:p/>
    <w:p/>
    <w:p/>
    <w:p/>
    <w:p/>
    <w:p/>
    <w:p/>
    <w:p/>
    <w:p/>
    <w:p/>
    <w:p/>
    <w:p/>
    <w:p/>
    <w:p/>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粗倩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9648522"/>
      <w:docPartObj>
        <w:docPartGallery w:val="AutoText"/>
      </w:docPartObj>
    </w:sdtPr>
    <w:sdtContent>
      <w:p>
        <w:pPr>
          <w:pStyle w:val="2"/>
          <w:jc w:val="right"/>
        </w:pPr>
        <w:r>
          <w:fldChar w:fldCharType="begin"/>
        </w:r>
        <w:r>
          <w:instrText xml:space="preserve">PAGE   \* MERGEFORMAT</w:instrText>
        </w:r>
        <w:r>
          <w:fldChar w:fldCharType="separate"/>
        </w:r>
        <w:r>
          <w:rPr>
            <w:lang w:val="zh-CN"/>
          </w:rPr>
          <w:t>11</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numPicBullet w:numPicBulletId="2">
    <w:pict>
      <v:shape id="2" type="#_x0000_t75" style="width:15px;height:15px" o:bullet="t">
        <v:imagedata r:id="rId3" o:title=""/>
      </v:shape>
    </w:pict>
  </w:numPicBullet>
  <w:abstractNum w:abstractNumId="0">
    <w:nsid w:val="04683B76"/>
    <w:multiLevelType w:val="multilevel"/>
    <w:tmpl w:val="04683B76"/>
    <w:lvl w:ilvl="0" w:tentative="0">
      <w:start w:val="1"/>
      <w:numFmt w:val="bullet"/>
      <w:lvlText w:val=""/>
      <w:lvlPicBulletId w:val="0"/>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0204C71"/>
    <w:multiLevelType w:val="multilevel"/>
    <w:tmpl w:val="70204C71"/>
    <w:lvl w:ilvl="0" w:tentative="0">
      <w:start w:val="1"/>
      <w:numFmt w:val="bullet"/>
      <w:lvlText w:val=""/>
      <w:lvlPicBulletId w:val="1"/>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59760C1"/>
    <w:multiLevelType w:val="multilevel"/>
    <w:tmpl w:val="759760C1"/>
    <w:lvl w:ilvl="0" w:tentative="0">
      <w:start w:val="1"/>
      <w:numFmt w:val="bullet"/>
      <w:lvlText w:val=""/>
      <w:lvlPicBulletId w:val="2"/>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F59"/>
    <w:rsid w:val="00025FA2"/>
    <w:rsid w:val="00030C15"/>
    <w:rsid w:val="00195D67"/>
    <w:rsid w:val="002B7470"/>
    <w:rsid w:val="003144BC"/>
    <w:rsid w:val="003B6B31"/>
    <w:rsid w:val="003D0C3B"/>
    <w:rsid w:val="00424676"/>
    <w:rsid w:val="00464BBD"/>
    <w:rsid w:val="004E0BBC"/>
    <w:rsid w:val="00523C21"/>
    <w:rsid w:val="006160DC"/>
    <w:rsid w:val="007B36D1"/>
    <w:rsid w:val="007D1002"/>
    <w:rsid w:val="007F1945"/>
    <w:rsid w:val="0084334F"/>
    <w:rsid w:val="00845870"/>
    <w:rsid w:val="00896C0C"/>
    <w:rsid w:val="008D2B9A"/>
    <w:rsid w:val="00AA0FFE"/>
    <w:rsid w:val="00B37DAE"/>
    <w:rsid w:val="00B71822"/>
    <w:rsid w:val="00B80F59"/>
    <w:rsid w:val="00BB24D0"/>
    <w:rsid w:val="00BF6E68"/>
    <w:rsid w:val="00C47866"/>
    <w:rsid w:val="00E6347E"/>
    <w:rsid w:val="00E66D44"/>
    <w:rsid w:val="00E726D7"/>
    <w:rsid w:val="00E75C2A"/>
    <w:rsid w:val="00F40874"/>
    <w:rsid w:val="00FD41E5"/>
    <w:rsid w:val="7E1572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firstLine="420" w:firstLineChars="200"/>
    </w:p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1"/>
    <customShpInfo spid="_x0000_s1028"/>
    <customShpInfo spid="_x0000_s1029"/>
    <customShpInfo spid="_x0000_s1036"/>
    <customShpInfo spid="_x0000_s1030"/>
    <customShpInfo spid="_x0000_s1042"/>
    <customShpInfo spid="_x0000_s1037"/>
    <customShpInfo spid="_x0000_s1043"/>
    <customShpInfo spid="_x0000_s1040"/>
    <customShpInfo spid="_x0000_s1046"/>
    <customShpInfo spid="_x0000_s1047"/>
    <customShpInfo spid="_x0000_s1050"/>
    <customShpInfo spid="_x0000_s1049"/>
    <customShpInfo spid="_x0000_s1052"/>
    <customShpInfo spid="_x0000_s1051"/>
    <customShpInfo spid="_x0000_s1057"/>
    <customShpInfo spid="_x0000_s1053"/>
    <customShpInfo spid="_x0000_s1059"/>
    <customShpInfo spid="_x0000_s1060"/>
    <customShpInfo spid="_x0000_s1054"/>
    <customShpInfo spid="_x0000_s1061"/>
    <customShpInfo spid="_x0000_s1062"/>
    <customShpInfo spid="_x0000_s1055"/>
    <customShpInfo spid="_x0000_s1056"/>
    <customShpInfo spid="_x0000_s106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BE26DD-253D-4FFF-9C68-E735675C30FD}">
  <ds:schemaRefs/>
</ds:datastoreItem>
</file>

<file path=docProps/app.xml><?xml version="1.0" encoding="utf-8"?>
<Properties xmlns="http://schemas.openxmlformats.org/officeDocument/2006/extended-properties" xmlns:vt="http://schemas.openxmlformats.org/officeDocument/2006/docPropsVTypes">
  <Template>Normal</Template>
  <Pages>11</Pages>
  <Words>337</Words>
  <Characters>1924</Characters>
  <Lines>16</Lines>
  <Paragraphs>4</Paragraphs>
  <TotalTime>27</TotalTime>
  <ScaleCrop>false</ScaleCrop>
  <LinksUpToDate>false</LinksUpToDate>
  <CharactersWithSpaces>2257</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2019-11-12T08:18:00Z</dcterms:created>
  <dc:creator>zhang deckon</dc:creator>
  <cp:lastModifiedBy>律诗小泽</cp:lastModifiedBy>
  <dcterms:modified xsi:type="dcterms:W3CDTF">2019-11-12T09:03:15Z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