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20.xml" ContentType="application/vnd.openxmlformats-officedocument.wordprocessingml.footer+xml"/>
  <Override PartName="/word/header25.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18.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footer15.xml" ContentType="application/vnd.openxmlformats-officedocument.wordprocessingml.footer+xml"/>
  <Override PartName="/word/header16.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document.xml" ContentType="application/vnd.openxmlformats-officedocument.wordprocessingml.document.main+xml"/>
  <Override PartName="/customXml/itemProps1.xml" ContentType="application/vnd.openxmlformats-officedocument.customXmlProperties+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header28.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Override PartName="/word/header7.xml" ContentType="application/vnd.openxmlformats-officedocument.wordprocessingml.header+xml"/>
  <Override PartName="/word/footer21.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19.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beforeLines="50"/>
        <w:ind w:firstLine="0" w:firstLineChars="0"/>
        <w:rPr>
          <w:rFonts w:ascii="微软雅黑" w:cs="经典综艺体简" w:hAnsi="微软雅黑"/>
          <w:b/>
          <w:bCs/>
          <w:color w:val="e36c09"/>
          <w:sz w:val="52"/>
          <w:szCs w:val="52"/>
        </w:rPr>
      </w:pPr>
      <w:r>
        <w:rPr>
          <w:rFonts w:ascii="微软雅黑" w:cs="经典综艺体简" w:hAnsi="微软雅黑"/>
          <w:b/>
          <w:bCs/>
          <w:noProof/>
          <w:color w:val="e36c09"/>
          <w:sz w:val="52"/>
          <w:szCs w:val="52"/>
        </w:rPr>
        <w:drawing>
          <wp:anchor distT="0" distB="0" distL="0" distR="0" simplePos="false" relativeHeight="4" behindDoc="false" locked="false" layoutInCell="true" allowOverlap="true">
            <wp:simplePos x="0" y="0"/>
            <wp:positionH relativeFrom="column">
              <wp:posOffset>3742690</wp:posOffset>
            </wp:positionH>
            <wp:positionV relativeFrom="paragraph">
              <wp:posOffset>422909</wp:posOffset>
            </wp:positionV>
            <wp:extent cx="1992629" cy="914400"/>
            <wp:effectExtent l="19050" t="0" r="7924" b="0"/>
            <wp:wrapNone/>
            <wp:docPr id="1026" name="图片 1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69"/>
                    <pic:cNvPicPr/>
                  </pic:nvPicPr>
                  <pic:blipFill>
                    <a:blip r:embed="rId2" cstate="print"/>
                    <a:srcRect l="0" t="0" r="0" b="0"/>
                    <a:stretch/>
                  </pic:blipFill>
                  <pic:spPr>
                    <a:xfrm rot="0">
                      <a:off x="0" y="0"/>
                      <a:ext cx="1992629" cy="914400"/>
                    </a:xfrm>
                    <a:prstGeom prst="rect"/>
                  </pic:spPr>
                </pic:pic>
              </a:graphicData>
            </a:graphic>
          </wp:anchor>
        </w:drawing>
      </w:r>
      <w:r>
        <w:rPr>
          <w:rFonts w:ascii="微软雅黑" w:cs="经典综艺体简" w:hAnsi="微软雅黑"/>
          <w:b/>
          <w:bCs/>
          <w:color w:val="e36c09"/>
          <w:sz w:val="52"/>
          <w:szCs w:val="52"/>
        </w:rPr>
        <w:pict>
          <v:rect id="1027" fillcolor="#ff9933" stroked="f" style="position:absolute;margin-left:497.85pt;margin-top:-69.55pt;width:24.65pt;height:853.5pt;z-index:19;mso-position-horizontal-relative:text;mso-position-vertical-relative:text;mso-width-relative:page;mso-height-relative:page;mso-wrap-distance-left:0.0pt;mso-wrap-distance-right:0.0pt;visibility:visible;">
            <v:stroke on="f"/>
            <v:fill/>
          </v:rect>
        </w:pict>
      </w:r>
    </w:p>
    <w:p>
      <w:pPr>
        <w:pStyle w:val="style62"/>
        <w:spacing w:lineRule="auto" w:line="240"/>
        <w:rPr>
          <w:rFonts w:ascii="微软雅黑" w:eastAsia="微软雅黑" w:hAnsi="微软雅黑"/>
          <w:color w:val="ff6600"/>
        </w:rPr>
      </w:pPr>
    </w:p>
    <w:p>
      <w:pPr>
        <w:pStyle w:val="style0"/>
        <w:ind w:firstLine="420"/>
        <w:rPr/>
      </w:pPr>
    </w:p>
    <w:p>
      <w:pPr>
        <w:pStyle w:val="style0"/>
        <w:ind w:firstLine="420"/>
        <w:rPr/>
      </w:pPr>
    </w:p>
    <w:bookmarkStart w:id="0" w:name="_GoBack"/>
    <w:p>
      <w:pPr>
        <w:pStyle w:val="style0"/>
        <w:ind w:firstLine="1040"/>
        <w:rPr/>
      </w:pPr>
      <w:r>
        <w:rPr>
          <w:rFonts w:ascii="微软雅黑" w:cs="经典综艺体简" w:hAnsi="微软雅黑"/>
          <w:b/>
          <w:bCs/>
          <w:noProof/>
          <w:color w:val="e36c09"/>
          <w:sz w:val="52"/>
          <w:szCs w:val="52"/>
        </w:rPr>
        <w:drawing>
          <wp:anchor distT="0" distB="0" distL="0" distR="0" simplePos="false" relativeHeight="7" behindDoc="false" locked="false" layoutInCell="true" allowOverlap="true">
            <wp:simplePos x="0" y="0"/>
            <wp:positionH relativeFrom="column">
              <wp:posOffset>-354330</wp:posOffset>
            </wp:positionH>
            <wp:positionV relativeFrom="paragraph">
              <wp:posOffset>53975</wp:posOffset>
            </wp:positionV>
            <wp:extent cx="6751955" cy="2914650"/>
            <wp:effectExtent l="0" t="0" r="14605" b="11430"/>
            <wp:wrapNone/>
            <wp:docPr id="1028"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lum contrast="20000"/>
                    </a:blip>
                    <a:srcRect l="0" t="0" r="0" b="0"/>
                    <a:stretch/>
                  </pic:blipFill>
                  <pic:spPr>
                    <a:xfrm rot="0">
                      <a:off x="0" y="0"/>
                      <a:ext cx="6751955" cy="2914650"/>
                    </a:xfrm>
                    <a:prstGeom prst="rect"/>
                  </pic:spPr>
                </pic:pic>
              </a:graphicData>
            </a:graphic>
          </wp:anchor>
        </w:drawing>
      </w:r>
      <w:bookmarkEnd w:id="0"/>
      <w:r>
        <w:rPr>
          <w:rFonts w:ascii="微软雅黑" w:cs="经典综艺体简" w:hAnsi="微软雅黑"/>
          <w:b/>
          <w:bCs/>
          <w:color w:val="e36c09"/>
          <w:sz w:val="52"/>
          <w:szCs w:val="52"/>
        </w:rPr>
        <w:pict>
          <v:rect id="1029" fillcolor="#ff9933" stroked="f" style="position:absolute;margin-left:-90.7pt;margin-top:3.9pt;width:156.5pt;height:229.6pt;z-index:20;mso-position-horizontal-relative:text;mso-position-vertical-relative:text;mso-width-relative:page;mso-height-relative:page;mso-wrap-distance-left:0.0pt;mso-wrap-distance-right:0.0pt;visibility:visible;">
            <v:stroke on="f"/>
            <v:fill/>
          </v:rect>
        </w:pict>
      </w:r>
      <w:r>
        <w:rPr>
          <w:rFonts w:ascii="微软雅黑" w:cs="经典综艺体简" w:hAnsi="微软雅黑"/>
          <w:b/>
          <w:bCs/>
          <w:noProof/>
          <w:color w:val="e36c09"/>
          <w:sz w:val="52"/>
          <w:szCs w:val="52"/>
        </w:rPr>
        <w:drawing>
          <wp:anchor distT="0" distB="0" distL="0" distR="0" simplePos="false" relativeHeight="8" behindDoc="false" locked="false" layoutInCell="true" allowOverlap="true">
            <wp:simplePos x="0" y="0"/>
            <wp:positionH relativeFrom="column">
              <wp:posOffset>-1336040</wp:posOffset>
            </wp:positionH>
            <wp:positionV relativeFrom="paragraph">
              <wp:posOffset>53975</wp:posOffset>
            </wp:positionV>
            <wp:extent cx="2150745" cy="2914650"/>
            <wp:effectExtent l="19050" t="0" r="1905" b="0"/>
            <wp:wrapNone/>
            <wp:docPr id="1030"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4" cstate="print">
                      <a:lum bright="10000" contrast="40000"/>
                    </a:blip>
                    <a:srcRect l="0" t="0" r="0" b="0"/>
                    <a:stretch/>
                  </pic:blipFill>
                  <pic:spPr>
                    <a:xfrm rot="0">
                      <a:off x="0" y="0"/>
                      <a:ext cx="2150745" cy="2914650"/>
                    </a:xfrm>
                    <a:prstGeom prst="rect"/>
                  </pic:spPr>
                </pic:pic>
              </a:graphicData>
            </a:graphic>
          </wp:anchor>
        </w:drawing>
      </w:r>
      <w:r>
        <w:rPr/>
        <w:pict>
          <v:rect id="1031" fillcolor="#b8b8b8" stroked="f" style="position:absolute;margin-left:-79.4pt;margin-top:3.9pt;width:56.85pt;height:229.6pt;z-index:21;mso-position-horizontal-relative:text;mso-position-vertical-relative:text;mso-width-relative:page;mso-height-relative:page;mso-wrap-distance-left:0.0pt;mso-wrap-distance-right:0.0pt;visibility:visible;">
            <v:stroke on="f"/>
            <v:fill/>
          </v:rect>
        </w:pict>
      </w: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62"/>
        <w:spacing w:lineRule="auto" w:line="240"/>
        <w:rPr>
          <w:rFonts w:ascii="微软雅黑" w:eastAsia="微软雅黑" w:hAnsi="微软雅黑"/>
          <w:color w:val="ff6600"/>
        </w:rPr>
      </w:pPr>
      <w:r>
        <w:rPr>
          <w:rFonts w:ascii="微软雅黑" w:eastAsia="微软雅黑" w:hAnsi="微软雅黑" w:hint="eastAsia"/>
          <w:color w:val="ff6600"/>
        </w:rPr>
        <w:t>高级管理者工商管理学位项目</w:t>
      </w:r>
    </w:p>
    <w:p>
      <w:pPr>
        <w:pStyle w:val="style62"/>
        <w:spacing w:lineRule="auto" w:line="240"/>
        <w:rPr>
          <w:rFonts w:ascii="微软雅黑" w:eastAsia="微软雅黑" w:hAnsi="微软雅黑"/>
          <w:color w:val="ff6600"/>
        </w:rPr>
      </w:pPr>
      <w:r>
        <w:rPr>
          <w:rFonts w:ascii="微软雅黑" w:eastAsia="微软雅黑" w:hAnsi="微软雅黑" w:hint="eastAsia"/>
          <w:color w:val="ff6600"/>
        </w:rPr>
        <w:t>MBA招生简章 · 201</w:t>
      </w:r>
      <w:r>
        <w:rPr>
          <w:rFonts w:ascii="微软雅黑" w:eastAsia="微软雅黑" w:hAnsi="微软雅黑" w:hint="eastAsia"/>
          <w:color w:val="ff6600"/>
        </w:rPr>
        <w:t>9</w:t>
      </w:r>
      <w:r>
        <w:rPr>
          <w:rFonts w:ascii="微软雅黑" w:eastAsia="微软雅黑" w:hAnsi="微软雅黑" w:hint="eastAsia"/>
          <w:color w:val="ff6600"/>
        </w:rPr>
        <w:t>年</w:t>
      </w:r>
    </w:p>
    <w:p>
      <w:pPr>
        <w:pStyle w:val="style62"/>
        <w:spacing w:lineRule="auto" w:line="240"/>
        <w:rPr>
          <w:rFonts w:ascii="微软雅黑" w:eastAsia="微软雅黑" w:hAnsi="微软雅黑"/>
          <w:color w:val="ff6600"/>
        </w:rPr>
      </w:pPr>
      <w:r>
        <w:rPr>
          <w:rFonts w:ascii="微软雅黑" w:cs="Arial" w:hAnsi="微软雅黑"/>
          <w:color w:val="e36c09"/>
          <w:sz w:val="30"/>
          <w:szCs w:val="30"/>
        </w:rPr>
        <w:br w:type="page"/>
      </w:r>
    </w:p>
    <w:p>
      <w:pPr>
        <w:pStyle w:val="style1"/>
        <w:rPr/>
      </w:pPr>
      <w:r>
        <w:rPr>
          <w:rFonts w:ascii="Arial" w:cs="Arial" w:hAnsi="Arial"/>
          <w:b w:val="false"/>
          <w:bCs w:val="false"/>
          <w:color w:val="333333"/>
          <w:sz w:val="30"/>
          <w:szCs w:val="30"/>
        </w:rPr>
        <w:pict>
          <v:rect id="1032" fillcolor="#b8b8b8" stroked="f" style="position:absolute;margin-left:521.85pt;margin-top:-56.6pt;width:24.65pt;height:853.5pt;z-index:33;mso-position-horizontal-relative:text;mso-position-vertical-relative:text;mso-width-relative:page;mso-height-relative:page;mso-wrap-distance-left:0.0pt;mso-wrap-distance-right:0.0pt;visibility:visible;">
            <v:stroke on="f"/>
            <v:fill/>
          </v:rect>
        </w:pict>
      </w:r>
      <w:r>
        <w:rPr>
          <w:rFonts w:ascii="Arial" w:cs="Arial" w:hAnsi="Arial"/>
          <w:b w:val="false"/>
          <w:bCs w:val="false"/>
          <w:color w:val="333333"/>
          <w:sz w:val="30"/>
          <w:szCs w:val="30"/>
        </w:rPr>
        <w:pict>
          <v:rect id="1033" fillcolor="#ff9933" stroked="f" style="position:absolute;margin-left:485.0pt;margin-top:-67.95pt;width:24.65pt;height:853.5pt;z-index:25;mso-position-horizontal-relative:text;mso-position-vertical-relative:text;mso-width-relative:page;mso-height-relative:page;mso-wrap-distance-left:0.0pt;mso-wrap-distance-right:0.0pt;visibility:visible;">
            <v:stroke on="f"/>
            <v:fill/>
          </v:rect>
        </w:pict>
      </w:r>
      <w:r>
        <w:rPr/>
        <w:pict>
          <v:rect id="1034" fillcolor="#b8b8b8" stroked="f" style="position:absolute;margin-left:509.85pt;margin-top:-68.6pt;width:24.65pt;height:853.5pt;z-index:26;mso-position-horizontal-relative:text;mso-position-vertical-relative:text;mso-width-relative:page;mso-height-relative:page;mso-wrap-distance-left:0.0pt;mso-wrap-distance-right:0.0pt;visibility:visible;">
            <v:stroke on="f"/>
            <v:fill/>
          </v:rect>
        </w:pict>
      </w:r>
      <w:r>
        <w:rPr>
          <w:rFonts w:hint="eastAsia"/>
        </w:rPr>
        <w:t xml:space="preserve">  学院简介</w:t>
      </w:r>
    </w:p>
    <w:p>
      <w:pPr>
        <w:pStyle w:val="style0"/>
        <w:ind w:firstLine="0" w:firstLineChars="0"/>
        <w:rPr/>
      </w:pPr>
      <w:r>
        <w:rPr>
          <w:noProof/>
        </w:rPr>
        <w:drawing>
          <wp:inline distL="0" distT="0" distB="0" distR="0">
            <wp:extent cx="5688965" cy="2655570"/>
            <wp:effectExtent l="19050" t="0" r="6380" b="0"/>
            <wp:docPr id="1035"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5" cstate="print"/>
                    <a:srcRect l="0" t="0" r="0" b="0"/>
                    <a:stretch/>
                  </pic:blipFill>
                  <pic:spPr>
                    <a:xfrm rot="0">
                      <a:off x="0" y="0"/>
                      <a:ext cx="5688965" cy="2655570"/>
                    </a:xfrm>
                    <a:prstGeom prst="rect"/>
                    <a:ln>
                      <a:noFill/>
                    </a:ln>
                  </pic:spPr>
                </pic:pic>
              </a:graphicData>
            </a:graphic>
          </wp:inline>
        </w:drawing>
      </w:r>
    </w:p>
    <w:p>
      <w:pPr>
        <w:pStyle w:val="style0"/>
        <w:spacing w:afterLines="50"/>
        <w:ind w:firstLine="0" w:firstLineChars="0"/>
        <w:rPr>
          <w:rFonts w:ascii="微软雅黑" w:hAnsi="微软雅黑"/>
          <w:b/>
          <w:bCs/>
          <w:szCs w:val="21"/>
        </w:rPr>
      </w:pPr>
    </w:p>
    <w:p>
      <w:pPr>
        <w:pStyle w:val="style0"/>
        <w:spacing w:afterLines="50"/>
        <w:ind w:firstLine="420"/>
        <w:rPr>
          <w:rFonts w:ascii="微软雅黑" w:hAnsi="微软雅黑"/>
          <w:szCs w:val="21"/>
        </w:rPr>
      </w:pPr>
      <w:r>
        <w:rPr>
          <w:rFonts w:ascii="微软雅黑" w:hAnsi="微软雅黑"/>
          <w:szCs w:val="21"/>
        </w:rPr>
        <w:t>在世界经济论坛发布的《2016－2017全球竞争力报告》中，荷兰超越德国，“</w:t>
      </w:r>
      <w:r>
        <w:rPr>
          <w:rFonts w:ascii="微软雅黑" w:hAnsi="微软雅黑"/>
          <w:b/>
          <w:szCs w:val="21"/>
        </w:rPr>
        <w:t>全球竞争指数”列第四位</w:t>
      </w:r>
      <w:r>
        <w:rPr>
          <w:rFonts w:ascii="微软雅黑" w:hAnsi="微软雅黑"/>
          <w:szCs w:val="21"/>
        </w:rPr>
        <w:t>，在“高等教育与培训“单项中位居第三，”创新综合指数“超过创新强国以色列。</w:t>
      </w:r>
    </w:p>
    <w:p>
      <w:pPr>
        <w:pStyle w:val="style0"/>
        <w:spacing w:afterLines="50"/>
        <w:ind w:firstLine="420"/>
        <w:rPr>
          <w:rFonts w:ascii="微软雅黑" w:hAnsi="微软雅黑"/>
          <w:szCs w:val="21"/>
        </w:rPr>
      </w:pPr>
      <w:r>
        <w:rPr>
          <w:rFonts w:ascii="微软雅黑" w:hAnsi="微软雅黑"/>
          <w:szCs w:val="21"/>
        </w:rPr>
        <w:t>地处荷兰</w:t>
      </w:r>
      <w:r>
        <w:rPr>
          <w:rFonts w:ascii="微软雅黑" w:hAnsi="微软雅黑" w:hint="eastAsia"/>
          <w:szCs w:val="21"/>
        </w:rPr>
        <w:t>皇家封地布仁（</w:t>
      </w:r>
      <w:r>
        <w:rPr>
          <w:rFonts w:ascii="微软雅黑" w:hAnsi="微软雅黑"/>
          <w:szCs w:val="21"/>
        </w:rPr>
        <w:t>Buren</w:t>
      </w:r>
      <w:r>
        <w:rPr>
          <w:rFonts w:ascii="微软雅黑" w:hAnsi="微软雅黑" w:hint="eastAsia"/>
          <w:szCs w:val="21"/>
        </w:rPr>
        <w:t>）</w:t>
      </w:r>
      <w:r>
        <w:rPr>
          <w:rFonts w:ascii="微软雅黑" w:hAnsi="微软雅黑"/>
          <w:szCs w:val="21"/>
        </w:rPr>
        <w:t>的</w:t>
      </w:r>
      <w:r>
        <w:rPr>
          <w:rFonts w:ascii="微软雅黑" w:hAnsi="微软雅黑"/>
          <w:b/>
          <w:szCs w:val="21"/>
        </w:rPr>
        <w:t>BSN荷兰商学院</w:t>
      </w:r>
      <w:r>
        <w:rPr>
          <w:rFonts w:ascii="微软雅黑" w:hAnsi="微软雅黑"/>
          <w:szCs w:val="21"/>
        </w:rPr>
        <w:t>（Business School Netherlands），依托荷兰整体竞争实力，秉承敢为天下先的荷兰创新精神，成为世界上将“</w:t>
      </w:r>
      <w:r>
        <w:rPr>
          <w:rFonts w:ascii="微软雅黑" w:hAnsi="微软雅黑"/>
          <w:b/>
          <w:szCs w:val="21"/>
        </w:rPr>
        <w:t>行动学习法</w:t>
      </w:r>
      <w:r>
        <w:rPr>
          <w:rFonts w:ascii="微软雅黑" w:hAnsi="微软雅黑"/>
          <w:szCs w:val="21"/>
        </w:rPr>
        <w:t>“应用于</w:t>
      </w:r>
      <w:r>
        <w:rPr>
          <w:rFonts w:ascii="微软雅黑" w:hAnsi="微软雅黑" w:hint="eastAsia"/>
          <w:szCs w:val="21"/>
        </w:rPr>
        <w:t>工商</w:t>
      </w:r>
      <w:r>
        <w:rPr>
          <w:rFonts w:ascii="微软雅黑" w:hAnsi="微软雅黑"/>
          <w:szCs w:val="21"/>
        </w:rPr>
        <w:t>管理教育领域的</w:t>
      </w:r>
      <w:r>
        <w:rPr>
          <w:rFonts w:ascii="微软雅黑" w:hAnsi="微软雅黑"/>
          <w:b/>
          <w:szCs w:val="21"/>
        </w:rPr>
        <w:t>先驱</w:t>
      </w:r>
      <w:r>
        <w:rPr>
          <w:rFonts w:ascii="微软雅黑" w:hAnsi="微软雅黑"/>
          <w:szCs w:val="21"/>
        </w:rPr>
        <w:t>。</w:t>
      </w:r>
    </w:p>
    <w:p>
      <w:pPr>
        <w:pStyle w:val="style0"/>
        <w:spacing w:afterLines="50"/>
        <w:ind w:firstLine="420"/>
        <w:rPr>
          <w:rFonts w:ascii="微软雅黑" w:hAnsi="微软雅黑"/>
          <w:szCs w:val="21"/>
        </w:rPr>
      </w:pPr>
      <w:r>
        <w:rPr>
          <w:rFonts w:ascii="微软雅黑" w:hAnsi="微软雅黑"/>
          <w:szCs w:val="21"/>
        </w:rPr>
        <w:t>2008年，BSN荷兰商学院作为</w:t>
      </w:r>
      <w:r>
        <w:rPr>
          <w:rFonts w:ascii="微软雅黑" w:hAnsi="微软雅黑"/>
          <w:b/>
          <w:szCs w:val="21"/>
        </w:rPr>
        <w:t>中国教育部涉外监管信息网公布的荷兰正规高等院校</w:t>
      </w:r>
      <w:r>
        <w:rPr>
          <w:rFonts w:ascii="微软雅黑" w:hAnsi="微软雅黑"/>
          <w:szCs w:val="21"/>
        </w:rPr>
        <w:t>落户中国。自此，BSN建立起以欧洲荷兰、亚洲中国、非洲南非为洲际中心的全球11个校区，来自世界60多个国家和地区的近万名职业经理人和企业家</w:t>
      </w:r>
      <w:r>
        <w:rPr>
          <w:rFonts w:ascii="微软雅黑" w:hAnsi="微软雅黑" w:hint="eastAsia"/>
          <w:szCs w:val="21"/>
        </w:rPr>
        <w:t>加入了</w:t>
      </w:r>
      <w:r>
        <w:rPr>
          <w:rFonts w:ascii="微软雅黑" w:hAnsi="微软雅黑"/>
          <w:szCs w:val="21"/>
        </w:rPr>
        <w:t>BSN管理课程的学习。</w:t>
      </w:r>
    </w:p>
    <w:p>
      <w:pPr>
        <w:pStyle w:val="style0"/>
        <w:spacing w:afterLines="50"/>
        <w:ind w:firstLine="420"/>
        <w:rPr>
          <w:rFonts w:ascii="微软雅黑" w:hAnsi="微软雅黑"/>
          <w:szCs w:val="21"/>
        </w:rPr>
      </w:pPr>
      <w:r>
        <w:rPr>
          <w:rFonts w:ascii="微软雅黑" w:hAnsi="微软雅黑"/>
          <w:szCs w:val="21"/>
        </w:rPr>
        <w:t>BSN荷兰商学院拥有各类工商管理硕士（MBA）、工商管理博士（DBA）和高级管理者培训项目（EDP），已成为荷兰规模最大的商学院之一。</w:t>
      </w:r>
    </w:p>
    <w:p>
      <w:pPr>
        <w:pStyle w:val="style0"/>
        <w:spacing w:afterLines="50"/>
        <w:ind w:firstLine="420"/>
        <w:rPr>
          <w:rFonts w:ascii="微软雅黑" w:hAnsi="微软雅黑"/>
          <w:szCs w:val="21"/>
        </w:rPr>
      </w:pPr>
    </w:p>
    <w:p>
      <w:pPr>
        <w:pStyle w:val="style0"/>
        <w:spacing w:beforeLines="100"/>
        <w:ind w:firstLine="485" w:firstLineChars="202"/>
        <w:rPr>
          <w:rFonts w:ascii="微软雅黑" w:hAnsi="微软雅黑"/>
          <w:b/>
          <w:color w:val="ff6600"/>
          <w:sz w:val="24"/>
          <w:szCs w:val="24"/>
          <w:u w:val="single"/>
        </w:rPr>
      </w:pPr>
      <w:r>
        <w:rPr>
          <w:rFonts w:ascii="微软雅黑" w:hAnsi="微软雅黑"/>
          <w:b/>
          <w:color w:val="ff6600"/>
          <w:sz w:val="24"/>
          <w:szCs w:val="24"/>
          <w:u w:val="single"/>
        </w:rPr>
        <w:t>使命</w:t>
      </w:r>
    </w:p>
    <w:p>
      <w:pPr>
        <w:pStyle w:val="style0"/>
        <w:spacing w:afterLines="50"/>
        <w:ind w:firstLine="420"/>
        <w:rPr>
          <w:rFonts w:ascii="微软雅黑" w:hAnsi="微软雅黑"/>
          <w:szCs w:val="21"/>
        </w:rPr>
      </w:pPr>
      <w:r>
        <w:rPr>
          <w:rFonts w:ascii="微软雅黑" w:hAnsi="微软雅黑"/>
          <w:szCs w:val="21"/>
        </w:rPr>
        <w:t>培养拥有</w:t>
      </w:r>
      <w:r>
        <w:rPr>
          <w:rFonts w:ascii="微软雅黑" w:hAnsi="微软雅黑" w:hint="eastAsia"/>
          <w:szCs w:val="21"/>
        </w:rPr>
        <w:t>国际化视野，兼具</w:t>
      </w:r>
      <w:r>
        <w:rPr>
          <w:rFonts w:ascii="微软雅黑" w:hAnsi="微软雅黑"/>
          <w:szCs w:val="21"/>
        </w:rPr>
        <w:t>管理创新能力</w:t>
      </w:r>
      <w:r>
        <w:rPr>
          <w:rFonts w:ascii="微软雅黑" w:hAnsi="微软雅黑" w:hint="eastAsia"/>
          <w:szCs w:val="21"/>
        </w:rPr>
        <w:t>，融贯东西方管理精髓</w:t>
      </w:r>
      <w:r>
        <w:rPr>
          <w:rFonts w:ascii="微软雅黑" w:hAnsi="微软雅黑"/>
          <w:szCs w:val="21"/>
        </w:rPr>
        <w:t>的商界领袖和管理精英。</w:t>
      </w:r>
    </w:p>
    <w:p>
      <w:pPr>
        <w:pStyle w:val="style0"/>
        <w:spacing w:beforeLines="100"/>
        <w:ind w:firstLine="485" w:firstLineChars="202"/>
        <w:rPr>
          <w:rFonts w:ascii="微软雅黑" w:hAnsi="微软雅黑"/>
          <w:b/>
          <w:color w:val="ff6600"/>
          <w:sz w:val="24"/>
          <w:szCs w:val="24"/>
          <w:u w:val="single"/>
        </w:rPr>
      </w:pPr>
      <w:r>
        <w:rPr>
          <w:rFonts w:ascii="微软雅黑" w:hAnsi="微软雅黑"/>
          <w:b/>
          <w:color w:val="ff6600"/>
          <w:sz w:val="24"/>
          <w:szCs w:val="24"/>
          <w:u w:val="single"/>
        </w:rPr>
        <w:t>愿景</w:t>
      </w:r>
    </w:p>
    <w:p>
      <w:pPr>
        <w:pStyle w:val="style0"/>
        <w:spacing w:afterLines="50" w:lineRule="atLeast" w:line="360"/>
        <w:ind w:firstLine="424" w:firstLineChars="202"/>
        <w:jc w:val="center"/>
        <w:rPr>
          <w:rFonts w:ascii="微软雅黑" w:hAnsi="微软雅黑"/>
          <w:b/>
        </w:rPr>
      </w:pPr>
      <w:r>
        <w:rPr>
          <w:rFonts w:ascii="微软雅黑" w:hAnsi="微软雅黑"/>
          <w:b/>
        </w:rPr>
        <w:t>立管理创新前沿</w:t>
      </w:r>
      <w:r>
        <w:rPr>
          <w:rFonts w:ascii="微软雅黑" w:hAnsi="微软雅黑" w:hint="eastAsia"/>
          <w:b/>
        </w:rPr>
        <w:t>　·　</w:t>
      </w:r>
      <w:r>
        <w:rPr>
          <w:rFonts w:ascii="微软雅黑" w:hAnsi="微软雅黑"/>
          <w:b/>
        </w:rPr>
        <w:t>育国际商业精英</w:t>
      </w:r>
      <w:r>
        <w:rPr>
          <w:rFonts w:ascii="微软雅黑" w:hAnsi="微软雅黑" w:hint="eastAsia"/>
          <w:b/>
        </w:rPr>
        <w:t>　·　</w:t>
      </w:r>
      <w:r>
        <w:rPr>
          <w:rFonts w:ascii="微软雅黑" w:hAnsi="微软雅黑"/>
          <w:b/>
        </w:rPr>
        <w:t>创合作交流平台</w:t>
      </w:r>
    </w:p>
    <w:p>
      <w:pPr>
        <w:pStyle w:val="style0"/>
        <w:adjustRightInd/>
        <w:snapToGrid/>
        <w:spacing w:after="0"/>
        <w:ind w:firstLine="0" w:firstLineChars="0"/>
        <w:rPr>
          <w:rFonts w:ascii="微软雅黑" w:hAnsi="微软雅黑"/>
          <w:b/>
        </w:rPr>
      </w:pPr>
      <w:r>
        <w:rPr>
          <w:rFonts w:ascii="微软雅黑" w:hAnsi="微软雅黑"/>
          <w:b/>
        </w:rPr>
        <w:br w:type="page"/>
      </w:r>
    </w:p>
    <w:p>
      <w:pPr>
        <w:pStyle w:val="style1"/>
        <w:rPr/>
      </w:pPr>
      <w:r>
        <w:rPr/>
        <w:pict>
          <v:rect id="1036" fillcolor="#d9d9d9" stroked="f" style="position:absolute;margin-left:-78.7pt;margin-top:-69.7pt;width:601.1pt;height:854.75pt;z-index:-2147483613;mso-position-horizontal-relative:text;mso-position-vertical-relative:text;mso-width-relative:page;mso-height-relative:page;mso-wrap-distance-left:0.0pt;mso-wrap-distance-right:0.0pt;visibility:visible;">
            <v:stroke on="f" weight="1.0pt"/>
            <v:fill/>
            <v:shadow on="t" color="#984807" offset="1.0pt," offset2="-2.0pt,-2.0pt"/>
          </v:rect>
        </w:pict>
      </w:r>
      <w:r>
        <w:rPr>
          <w:noProof/>
        </w:rPr>
        <w:drawing>
          <wp:anchor distT="0" distB="0" distL="0" distR="0" simplePos="false" relativeHeight="5" behindDoc="false" locked="false" layoutInCell="true" allowOverlap="true">
            <wp:simplePos x="0" y="0"/>
            <wp:positionH relativeFrom="column">
              <wp:posOffset>-61594</wp:posOffset>
            </wp:positionH>
            <wp:positionV relativeFrom="paragraph">
              <wp:posOffset>715010</wp:posOffset>
            </wp:positionV>
            <wp:extent cx="5681345" cy="1945640"/>
            <wp:effectExtent l="19050" t="0" r="0" b="0"/>
            <wp:wrapNone/>
            <wp:docPr id="1037"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6" cstate="print">
                      <a:lum bright="10000" contrast="10000"/>
                    </a:blip>
                    <a:srcRect l="0" t="0" r="0" b="0"/>
                    <a:stretch/>
                  </pic:blipFill>
                  <pic:spPr>
                    <a:xfrm rot="0">
                      <a:off x="0" y="0"/>
                      <a:ext cx="5681345" cy="1945640"/>
                    </a:xfrm>
                    <a:prstGeom prst="rect"/>
                    <a:ln>
                      <a:noFill/>
                    </a:ln>
                  </pic:spPr>
                </pic:pic>
              </a:graphicData>
            </a:graphic>
          </wp:anchor>
        </w:drawing>
      </w:r>
      <w:r>
        <w:rPr>
          <w:rFonts w:hint="eastAsia"/>
        </w:rPr>
        <w:t xml:space="preserve">  资质荣誉</w:t>
      </w:r>
    </w:p>
    <w:p>
      <w:pPr>
        <w:pStyle w:val="style0"/>
        <w:ind w:firstLine="420"/>
        <w:rPr/>
      </w:pPr>
    </w:p>
    <w:p>
      <w:pPr>
        <w:pStyle w:val="style0"/>
        <w:ind w:firstLine="420"/>
        <w:rPr/>
      </w:pPr>
    </w:p>
    <w:p>
      <w:pPr>
        <w:pStyle w:val="style0"/>
        <w:ind w:firstLine="420"/>
        <w:rPr/>
      </w:pPr>
      <w:r>
        <w:rPr/>
        <w:pict>
          <v:shapetype id="_x0000_t202" coordsize="21600,21600" o:spt="202" path="m,l,21600r21600,l21600,xe">
            <v:stroke joinstyle="miter"/>
            <v:path gradientshapeok="t" o:connecttype="rect"/>
          </v:shapetype>
          <v:shape id="1039" type="#_x0000_t202" style="position:absolute;margin-left:94.65pt;margin-top:0.7pt;width:359.1pt;height:125.35pt;z-index:18;mso-position-horizontal-relative:text;mso-position-vertical-relative:text;mso-height-percent:200;mso-width-relative:page;mso-height-relative:margin;mso-wrap-distance-left:0.0pt;mso-wrap-distance-right:0.0pt;visibility:visible;">
            <v:stroke joinstyle="miter" color="#ff6600"/>
            <v:fill/>
            <v:path o:connecttype="rect" gradientshapeok="t"/>
            <v:textbox style="mso-fit-shape-to-text:true;">
              <w:txbxContent>
                <w:p>
                  <w:pPr>
                    <w:pStyle w:val="style0"/>
                    <w:ind w:firstLine="0" w:firstLineChars="0"/>
                    <w:rPr>
                      <w:b/>
                      <w:color w:val="ff6600"/>
                      <w:sz w:val="32"/>
                      <w:szCs w:val="32"/>
                    </w:rPr>
                  </w:pPr>
                  <w:r>
                    <w:rPr>
                      <w:rFonts w:hint="eastAsia"/>
                      <w:b/>
                      <w:color w:val="ff6600"/>
                      <w:sz w:val="32"/>
                      <w:szCs w:val="32"/>
                    </w:rPr>
                    <w:t>中荷政府公布的荷兰正规高等院校</w:t>
                  </w:r>
                </w:p>
                <w:p>
                  <w:pPr>
                    <w:pStyle w:val="style179"/>
                    <w:numPr>
                      <w:ilvl w:val="0"/>
                      <w:numId w:val="5"/>
                    </w:numPr>
                    <w:rPr/>
                  </w:pPr>
                  <w:r>
                    <w:rPr>
                      <w:rFonts w:hint="eastAsia"/>
                    </w:rPr>
                    <w:t>Nuffic</w:t>
                  </w:r>
                  <w:r>
                    <w:rPr>
                      <w:rFonts w:hint="eastAsia"/>
                    </w:rPr>
                    <w:t xml:space="preserve"> / </w:t>
                  </w:r>
                  <w:r>
                    <w:rPr>
                      <w:rFonts w:hint="eastAsia"/>
                    </w:rPr>
                    <w:t>Neso</w:t>
                  </w:r>
                  <w:r>
                    <w:rPr>
                      <w:rFonts w:hint="eastAsia"/>
                    </w:rPr>
                    <w:t xml:space="preserve"> China</w:t>
                  </w:r>
                  <w:r>
                    <w:rPr>
                      <w:rFonts w:hint="eastAsia"/>
                    </w:rPr>
                    <w:t>（发布荷兰教育资质信息的唯一官方渠道）公布的荷兰正规高等教育学院</w:t>
                  </w:r>
                </w:p>
                <w:p>
                  <w:pPr>
                    <w:pStyle w:val="style179"/>
                    <w:numPr>
                      <w:ilvl w:val="0"/>
                      <w:numId w:val="5"/>
                    </w:numPr>
                    <w:rPr/>
                  </w:pPr>
                  <w:r>
                    <w:rPr>
                      <w:rFonts w:hint="eastAsia"/>
                    </w:rPr>
                    <w:t>中华人民共和国教育部通过教育涉外监管信息网（</w:t>
                  </w:r>
                  <w:r>
                    <w:rPr>
                      <w:rFonts w:hint="eastAsia"/>
                    </w:rPr>
                    <w:t>www.jsj.edu.cn</w:t>
                  </w:r>
                  <w:r>
                    <w:rPr>
                      <w:rFonts w:hint="eastAsia"/>
                    </w:rPr>
                    <w:t>）和中国留学网（</w:t>
                  </w:r>
                  <w:r>
                    <w:rPr>
                      <w:rFonts w:hint="eastAsia"/>
                    </w:rPr>
                    <w:t>www.cscse.edu.cn</w:t>
                  </w:r>
                  <w:r>
                    <w:rPr>
                      <w:rFonts w:hint="eastAsia"/>
                    </w:rPr>
                    <w:t>）公布的荷兰正规高等教育学院</w:t>
                  </w:r>
                </w:p>
                <w:p>
                  <w:pPr>
                    <w:pStyle w:val="style179"/>
                    <w:numPr>
                      <w:ilvl w:val="0"/>
                      <w:numId w:val="0"/>
                    </w:numPr>
                    <w:ind w:left="420"/>
                    <w:rPr/>
                  </w:pPr>
                </w:p>
              </w:txbxContent>
            </v:textbox>
          </v:shape>
        </w:pict>
      </w: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spacing w:afterLines="50"/>
        <w:ind w:firstLine="0" w:firstLineChars="0"/>
        <w:rPr>
          <w:rFonts w:ascii="微软雅黑" w:hAnsi="微软雅黑"/>
          <w:b/>
          <w:bCs/>
          <w:color w:val="ff6600"/>
          <w:kern w:val="44"/>
          <w:sz w:val="44"/>
          <w:szCs w:val="44"/>
        </w:rPr>
      </w:pPr>
    </w:p>
    <w:p>
      <w:pPr>
        <w:pStyle w:val="style0"/>
        <w:spacing w:afterLines="50"/>
        <w:ind w:firstLine="0" w:firstLineChars="0"/>
        <w:rPr>
          <w:rFonts w:ascii="微软雅黑" w:hAnsi="微软雅黑"/>
          <w:b/>
          <w:bCs/>
          <w:color w:val="ff6600"/>
          <w:kern w:val="44"/>
          <w:sz w:val="44"/>
          <w:szCs w:val="44"/>
        </w:rPr>
      </w:pPr>
      <w:r>
        <w:rPr>
          <w:noProof/>
          <w:sz w:val="24"/>
          <w:szCs w:val="24"/>
        </w:rPr>
        <w:drawing>
          <wp:anchor distT="0" distB="0" distL="114300" distR="114300" simplePos="false" relativeHeight="15" behindDoc="true" locked="false" layoutInCell="true" allowOverlap="true">
            <wp:simplePos x="0" y="0"/>
            <wp:positionH relativeFrom="column">
              <wp:posOffset>3155315</wp:posOffset>
            </wp:positionH>
            <wp:positionV relativeFrom="paragraph">
              <wp:posOffset>14605</wp:posOffset>
            </wp:positionV>
            <wp:extent cx="3128009" cy="1849754"/>
            <wp:effectExtent l="19050" t="0" r="0" b="0"/>
            <wp:wrapTight wrapText="bothSides">
              <wp:wrapPolygon edited="false">
                <wp:start x="-132" y="0"/>
                <wp:lineTo x="-132" y="21355"/>
                <wp:lineTo x="21574" y="21355"/>
                <wp:lineTo x="21574" y="0"/>
                <wp:lineTo x="-132" y="0"/>
              </wp:wrapPolygon>
            </wp:wrapTight>
            <wp:docPr id="1040" name="图片 1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97"/>
                    <pic:cNvPicPr/>
                  </pic:nvPicPr>
                  <pic:blipFill>
                    <a:blip r:embed="rId7" cstate="print"/>
                    <a:srcRect l="0" t="0" r="0" b="0"/>
                    <a:stretch/>
                  </pic:blipFill>
                  <pic:spPr>
                    <a:xfrm rot="0">
                      <a:off x="0" y="0"/>
                      <a:ext cx="3128009" cy="1849754"/>
                    </a:xfrm>
                    <a:prstGeom prst="rect"/>
                  </pic:spPr>
                </pic:pic>
              </a:graphicData>
            </a:graphic>
          </wp:anchor>
        </w:drawing>
      </w:r>
      <w:r>
        <w:rPr>
          <w:noProof/>
          <w:sz w:val="24"/>
          <w:szCs w:val="24"/>
        </w:rPr>
        <w:drawing>
          <wp:anchor distT="0" distB="0" distL="114300" distR="114300" simplePos="false" relativeHeight="17" behindDoc="true" locked="false" layoutInCell="true" allowOverlap="true">
            <wp:simplePos x="0" y="0"/>
            <wp:positionH relativeFrom="column">
              <wp:posOffset>3122930</wp:posOffset>
            </wp:positionH>
            <wp:positionV relativeFrom="paragraph">
              <wp:posOffset>2024380</wp:posOffset>
            </wp:positionV>
            <wp:extent cx="3170554" cy="1616075"/>
            <wp:effectExtent l="19050" t="0" r="0" b="0"/>
            <wp:wrapSquare wrapText="bothSides"/>
            <wp:docPr id="1041"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9"/>
                    <pic:cNvPicPr/>
                  </pic:nvPicPr>
                  <pic:blipFill>
                    <a:blip r:embed="rId8" cstate="print"/>
                    <a:srcRect l="0" t="0" r="0" b="0"/>
                    <a:stretch/>
                  </pic:blipFill>
                  <pic:spPr>
                    <a:xfrm rot="0">
                      <a:off x="0" y="0"/>
                      <a:ext cx="3170554" cy="1616075"/>
                    </a:xfrm>
                    <a:prstGeom prst="rect"/>
                    <a:ln>
                      <a:noFill/>
                    </a:ln>
                  </pic:spPr>
                </pic:pic>
              </a:graphicData>
            </a:graphic>
          </wp:anchor>
        </w:drawing>
      </w:r>
      <w:r>
        <w:rPr>
          <w:noProof/>
          <w:sz w:val="24"/>
          <w:szCs w:val="24"/>
        </w:rPr>
        <w:drawing>
          <wp:anchor distT="0" distB="0" distL="114300" distR="114300" simplePos="false" relativeHeight="16" behindDoc="true" locked="false" layoutInCell="true" allowOverlap="true">
            <wp:simplePos x="0" y="0"/>
            <wp:positionH relativeFrom="column">
              <wp:posOffset>3165475</wp:posOffset>
            </wp:positionH>
            <wp:positionV relativeFrom="paragraph">
              <wp:posOffset>3905885</wp:posOffset>
            </wp:positionV>
            <wp:extent cx="3053715" cy="807720"/>
            <wp:effectExtent l="19050" t="0" r="0" b="0"/>
            <wp:wrapTight wrapText="bothSides">
              <wp:wrapPolygon edited="false">
                <wp:start x="-135" y="0"/>
                <wp:lineTo x="-135" y="20887"/>
                <wp:lineTo x="21560" y="20887"/>
                <wp:lineTo x="21560" y="0"/>
                <wp:lineTo x="-135" y="0"/>
              </wp:wrapPolygon>
            </wp:wrapTight>
            <wp:docPr id="1042" name="图片 1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99"/>
                    <pic:cNvPicPr/>
                  </pic:nvPicPr>
                  <pic:blipFill>
                    <a:blip r:embed="rId9" cstate="print"/>
                    <a:srcRect l="0" t="0" r="0" b="0"/>
                    <a:stretch/>
                  </pic:blipFill>
                  <pic:spPr>
                    <a:xfrm rot="0">
                      <a:off x="0" y="0"/>
                      <a:ext cx="3053715" cy="807720"/>
                    </a:xfrm>
                    <a:prstGeom prst="rect"/>
                  </pic:spPr>
                </pic:pic>
              </a:graphicData>
            </a:graphic>
          </wp:anchor>
        </w:drawing>
      </w:r>
      <w:r>
        <w:rPr>
          <w:rFonts w:ascii="微软雅黑" w:hAnsi="微软雅黑" w:hint="eastAsia"/>
          <w:b/>
          <w:bCs/>
          <w:color w:val="ff6600"/>
          <w:kern w:val="44"/>
          <w:sz w:val="44"/>
          <w:szCs w:val="44"/>
        </w:rPr>
        <w:t>中国资质</w:t>
      </w:r>
    </w:p>
    <w:p>
      <w:pPr>
        <w:pStyle w:val="style0"/>
        <w:ind w:firstLine="0" w:firstLineChars="0"/>
        <w:rPr>
          <w:b/>
          <w:color w:val="e36c0a"/>
          <w:sz w:val="32"/>
          <w:szCs w:val="32"/>
        </w:rPr>
      </w:pPr>
      <w:r>
        <w:rPr>
          <w:rFonts w:hint="eastAsia"/>
          <w:b/>
          <w:color w:val="e36c0a"/>
          <w:sz w:val="32"/>
          <w:szCs w:val="32"/>
        </w:rPr>
        <w:t>中国政府推荐荷兰正规高等学院</w:t>
      </w:r>
    </w:p>
    <w:p>
      <w:pPr>
        <w:pStyle w:val="style0"/>
        <w:ind w:firstLine="108" w:firstLineChars="45"/>
        <w:rPr/>
      </w:pPr>
      <w:r>
        <w:rPr>
          <w:b/>
          <w:color w:val="e36c0a"/>
          <w:sz w:val="24"/>
          <w:szCs w:val="24"/>
        </w:rPr>
        <w:t>★</w:t>
      </w:r>
      <w:r>
        <w:rPr>
          <w:rFonts w:hint="eastAsia"/>
          <w:sz w:val="24"/>
          <w:szCs w:val="24"/>
        </w:rPr>
        <w:t xml:space="preserve"> </w:t>
      </w:r>
      <w:r>
        <w:rPr>
          <w:rFonts w:hint="eastAsia"/>
        </w:rPr>
        <w:t>中华人民共和国教育部通过教育涉外监管信息网（</w:t>
      </w:r>
      <w:r>
        <w:rPr>
          <w:rFonts w:hint="eastAsia"/>
        </w:rPr>
        <w:t xml:space="preserve"> </w:t>
      </w:r>
      <w:r>
        <w:rPr/>
        <w:fldChar w:fldCharType="begin"/>
      </w:r>
      <w:r>
        <w:instrText xml:space="preserve"> HYPERLINK "http://www.jsj.edu.cn" </w:instrText>
      </w:r>
      <w:r>
        <w:rPr/>
        <w:fldChar w:fldCharType="separate"/>
      </w:r>
      <w:r>
        <w:rPr>
          <w:rStyle w:val="style85"/>
        </w:rPr>
        <w:t>www.jsj.edu.cn</w:t>
      </w:r>
      <w:r>
        <w:rPr/>
        <w:fldChar w:fldCharType="end"/>
      </w:r>
      <w:r>
        <w:rPr>
          <w:rFonts w:hint="eastAsia"/>
        </w:rPr>
        <w:t xml:space="preserve"> )</w:t>
      </w:r>
      <w:r>
        <w:rPr>
          <w:rFonts w:hint="eastAsia"/>
        </w:rPr>
        <w:t>公布的荷兰正规高等教育学院。</w:t>
      </w:r>
    </w:p>
    <w:p>
      <w:pPr>
        <w:pStyle w:val="style0"/>
        <w:ind w:firstLine="94" w:firstLineChars="45"/>
        <w:rPr/>
      </w:pPr>
    </w:p>
    <w:p>
      <w:pPr>
        <w:pStyle w:val="style0"/>
        <w:ind w:firstLine="108" w:firstLineChars="45"/>
        <w:rPr/>
      </w:pPr>
      <w:r>
        <w:rPr>
          <w:b/>
          <w:color w:val="e36c0a"/>
          <w:sz w:val="24"/>
          <w:szCs w:val="24"/>
        </w:rPr>
        <w:t>★</w:t>
      </w:r>
      <w:r>
        <w:rPr>
          <w:rFonts w:hint="eastAsia"/>
        </w:rPr>
        <w:t>中国留学网（</w:t>
      </w:r>
      <w:r>
        <w:rPr/>
        <w:fldChar w:fldCharType="begin"/>
      </w:r>
      <w:r>
        <w:instrText xml:space="preserve"> HYPERLINK "http://www.cscse.edu.cn" </w:instrText>
      </w:r>
      <w:r>
        <w:rPr/>
        <w:fldChar w:fldCharType="separate"/>
      </w:r>
      <w:r>
        <w:rPr>
          <w:rStyle w:val="style85"/>
        </w:rPr>
        <w:t>www.cscse.edu.cn</w:t>
      </w:r>
      <w:r>
        <w:rPr>
          <w:rStyle w:val="style85"/>
        </w:rPr>
        <w:fldChar w:fldCharType="end"/>
      </w:r>
      <w:r>
        <w:rPr>
          <w:rFonts w:hint="eastAsia"/>
        </w:rPr>
        <w:t>）</w:t>
      </w:r>
      <w:r>
        <w:rPr>
          <w:rFonts w:hint="eastAsia"/>
        </w:rPr>
        <w:t xml:space="preserve"> </w:t>
      </w:r>
      <w:r>
        <w:rPr>
          <w:rFonts w:hint="eastAsia"/>
        </w:rPr>
        <w:t>公布的荷兰正规高等教育学院。</w:t>
      </w:r>
    </w:p>
    <w:p>
      <w:pPr>
        <w:pStyle w:val="style0"/>
        <w:ind w:firstLine="0" w:firstLineChars="0"/>
        <w:rPr/>
      </w:pPr>
      <w:r>
        <w:rPr>
          <w:rFonts w:hint="eastAsia"/>
        </w:rPr>
        <w:t>具体查询地址</w:t>
      </w:r>
    </w:p>
    <w:p>
      <w:pPr>
        <w:pStyle w:val="style0"/>
        <w:ind w:firstLine="94" w:firstLineChars="45"/>
        <w:rPr>
          <w:b/>
          <w:color w:val="e36c0a"/>
          <w:sz w:val="24"/>
          <w:szCs w:val="24"/>
        </w:rPr>
      </w:pPr>
      <w:r>
        <w:rPr/>
        <w:fldChar w:fldCharType="begin"/>
      </w:r>
      <w:r>
        <w:instrText xml:space="preserve"> HYPERLINK "http://www.cscse.edu.cn/publish/portal0/tab118/info3586.htm" </w:instrText>
      </w:r>
      <w:r>
        <w:rPr/>
        <w:fldChar w:fldCharType="separate"/>
      </w:r>
      <w:r>
        <w:rPr>
          <w:rStyle w:val="style85"/>
        </w:rPr>
        <w:t>http://www.cscse.edu.cn/publish/portal0/tab118/info3586.htm</w:t>
      </w:r>
      <w:r>
        <w:rPr/>
        <w:fldChar w:fldCharType="end"/>
      </w:r>
      <w:r>
        <w:rPr>
          <w:rFonts w:hint="eastAsia"/>
        </w:rPr>
        <w:t xml:space="preserve">  </w:t>
      </w:r>
    </w:p>
    <w:p>
      <w:pPr>
        <w:pStyle w:val="style0"/>
        <w:spacing w:afterLines="50"/>
        <w:ind w:firstLine="0" w:firstLineChars="0"/>
        <w:rPr>
          <w:rFonts w:ascii="微软雅黑" w:hAnsi="微软雅黑"/>
          <w:b/>
          <w:bCs/>
          <w:color w:val="ff6600"/>
          <w:kern w:val="44"/>
          <w:sz w:val="44"/>
          <w:szCs w:val="44"/>
        </w:rPr>
      </w:pPr>
      <w:r>
        <w:rPr>
          <w:rFonts w:ascii="微软雅黑" w:hAnsi="微软雅黑" w:hint="eastAsia"/>
          <w:b/>
          <w:bCs/>
          <w:color w:val="ff6600"/>
          <w:kern w:val="44"/>
          <w:sz w:val="44"/>
          <w:szCs w:val="44"/>
        </w:rPr>
        <w:t>荷兰资质</w:t>
      </w:r>
    </w:p>
    <w:p>
      <w:pPr>
        <w:pStyle w:val="style0"/>
        <w:ind w:firstLine="0" w:firstLineChars="0"/>
        <w:rPr>
          <w:b/>
          <w:color w:val="e36c0a"/>
          <w:sz w:val="32"/>
          <w:szCs w:val="32"/>
        </w:rPr>
      </w:pPr>
      <w:r>
        <w:rPr>
          <w:rFonts w:hint="eastAsia"/>
          <w:b/>
          <w:color w:val="e36c0a"/>
          <w:sz w:val="32"/>
          <w:szCs w:val="32"/>
        </w:rPr>
        <w:t>荷兰政府批准的应用型商学院</w:t>
      </w:r>
    </w:p>
    <w:p>
      <w:pPr>
        <w:pStyle w:val="style0"/>
        <w:ind w:firstLine="0" w:firstLineChars="0"/>
        <w:rPr/>
      </w:pPr>
      <w:r>
        <w:rPr>
          <w:rFonts w:ascii="宋体" w:cs="宋体" w:eastAsia="宋体" w:hAnsi="宋体" w:hint="eastAsia"/>
          <w:b/>
          <w:color w:val="e36c0a"/>
          <w:sz w:val="24"/>
          <w:szCs w:val="24"/>
        </w:rPr>
        <w:t>★</w:t>
      </w:r>
      <w:r>
        <w:rPr>
          <w:rFonts w:hint="eastAsia"/>
          <w:sz w:val="24"/>
          <w:szCs w:val="24"/>
        </w:rPr>
        <w:t xml:space="preserve"> </w:t>
      </w:r>
      <w:r>
        <w:t>Nuffic/Neso</w:t>
      </w:r>
      <w:r>
        <w:t xml:space="preserve"> China</w:t>
      </w:r>
      <w:r>
        <w:rPr>
          <w:rFonts w:hint="eastAsia"/>
        </w:rPr>
        <w:t>推荐的荷兰正规高等教育学院</w:t>
      </w:r>
    </w:p>
    <w:p>
      <w:pPr>
        <w:pStyle w:val="style0"/>
        <w:ind w:firstLine="0" w:firstLineChars="0"/>
        <w:rPr/>
      </w:pPr>
      <w:r>
        <w:rPr>
          <w:rFonts w:hint="eastAsia"/>
          <w:b/>
          <w:color w:val="e36c0a"/>
          <w:sz w:val="36"/>
          <w:szCs w:val="36"/>
        </w:rPr>
        <w:t>荷兰官方</w:t>
      </w:r>
      <w:r>
        <w:rPr>
          <w:rFonts w:hint="eastAsia"/>
        </w:rPr>
        <w:t>教育资质</w:t>
      </w:r>
      <w:r>
        <w:rPr>
          <w:rFonts w:hint="eastAsia"/>
          <w:b/>
          <w:color w:val="e36c0a"/>
          <w:sz w:val="36"/>
          <w:szCs w:val="36"/>
        </w:rPr>
        <w:t>唯一</w:t>
      </w:r>
      <w:r>
        <w:rPr>
          <w:rFonts w:hint="eastAsia"/>
        </w:rPr>
        <w:t>信息发布渠道。</w:t>
      </w:r>
    </w:p>
    <w:p>
      <w:pPr>
        <w:pStyle w:val="style0"/>
        <w:ind w:firstLine="630" w:firstLineChars="300"/>
        <w:rPr/>
      </w:pPr>
      <w:r>
        <w:rPr/>
        <w:fldChar w:fldCharType="begin"/>
      </w:r>
      <w:r>
        <w:instrText xml:space="preserve"> HYPERLINK "http://www.nesochina.org" </w:instrText>
      </w:r>
      <w:r>
        <w:rPr/>
        <w:fldChar w:fldCharType="separate"/>
      </w:r>
      <w:r>
        <w:rPr>
          <w:rStyle w:val="style85"/>
          <w:rFonts w:hint="eastAsia"/>
        </w:rPr>
        <w:t>www.nesochina.org</w:t>
      </w:r>
      <w:r>
        <w:rPr/>
        <w:fldChar w:fldCharType="end"/>
      </w:r>
    </w:p>
    <w:p>
      <w:pPr>
        <w:pStyle w:val="style0"/>
        <w:ind w:firstLine="630" w:firstLineChars="300"/>
        <w:rPr/>
      </w:pPr>
    </w:p>
    <w:p>
      <w:pPr>
        <w:pStyle w:val="style0"/>
        <w:spacing w:afterLines="50"/>
        <w:ind w:firstLine="0" w:firstLineChars="0"/>
        <w:rPr>
          <w:b/>
          <w:color w:val="e36c0a"/>
          <w:sz w:val="44"/>
          <w:szCs w:val="44"/>
        </w:rPr>
      </w:pPr>
    </w:p>
    <w:p>
      <w:pPr>
        <w:pStyle w:val="style0"/>
        <w:spacing w:afterLines="50"/>
        <w:ind w:firstLine="0" w:firstLineChars="0"/>
        <w:rPr>
          <w:b/>
          <w:color w:val="e36c0a"/>
          <w:sz w:val="44"/>
          <w:szCs w:val="44"/>
        </w:rPr>
      </w:pPr>
      <w:r>
        <w:rPr>
          <w:rFonts w:hint="eastAsia"/>
          <w:b/>
          <w:color w:val="e36c0a"/>
          <w:sz w:val="44"/>
          <w:szCs w:val="44"/>
        </w:rPr>
        <w:t>学位鉴定</w:t>
      </w:r>
    </w:p>
    <w:p>
      <w:pPr>
        <w:pStyle w:val="style0"/>
        <w:ind w:firstLine="420"/>
        <w:rPr/>
      </w:pPr>
    </w:p>
    <w:p>
      <w:pPr>
        <w:pStyle w:val="style0"/>
        <w:ind w:firstLine="420"/>
        <w:rPr>
          <w:b/>
          <w:color w:val="e36c0a"/>
        </w:rPr>
      </w:pPr>
      <w:r>
        <w:rPr>
          <w:rFonts w:hint="eastAsia"/>
          <w:b/>
          <w:noProof/>
          <w:color w:val="e36c0a"/>
        </w:rPr>
        <w:drawing>
          <wp:inline distL="0" distT="0" distB="0" distR="0">
            <wp:extent cx="5666105" cy="7788274"/>
            <wp:effectExtent l="0" t="0" r="3175" b="14605"/>
            <wp:docPr id="1043"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0" cstate="print"/>
                    <a:srcRect l="0" t="0" r="0" b="0"/>
                    <a:stretch/>
                  </pic:blipFill>
                  <pic:spPr>
                    <a:xfrm rot="0">
                      <a:off x="0" y="0"/>
                      <a:ext cx="5666105" cy="7788274"/>
                    </a:xfrm>
                    <a:prstGeom prst="rect"/>
                    <a:ln>
                      <a:noFill/>
                    </a:ln>
                  </pic:spPr>
                </pic:pic>
              </a:graphicData>
            </a:graphic>
          </wp:inline>
        </w:drawing>
      </w:r>
    </w:p>
    <w:p>
      <w:pPr>
        <w:pStyle w:val="style0"/>
        <w:spacing w:afterLines="50"/>
        <w:ind w:firstLineChars="0"/>
        <w:rPr>
          <w:rFonts w:ascii="微软雅黑" w:hAnsi="微软雅黑"/>
          <w:b/>
          <w:bCs/>
          <w:color w:val="ff6600"/>
          <w:kern w:val="44"/>
          <w:sz w:val="52"/>
          <w:szCs w:val="21"/>
        </w:rPr>
      </w:pPr>
      <w:r>
        <w:rPr>
          <w:rFonts w:cs="Arial"/>
          <w:b/>
          <w:bCs/>
          <w:color w:val="333333"/>
        </w:rPr>
        <w:pict>
          <v:rect id="1044" fillcolor="#ff9933" stroked="f" style="position:absolute;margin-left:538.7pt;margin-top:-35.9pt;width:24.65pt;height:853.5pt;z-index:30;mso-position-horizontal-relative:text;mso-position-vertical-relative:text;mso-width-relative:page;mso-height-relative:page;mso-wrap-distance-left:0.0pt;mso-wrap-distance-right:0.0pt;visibility:visible;">
            <v:stroke on="f"/>
            <v:fill/>
          </v:rect>
        </w:pict>
      </w:r>
      <w:r>
        <w:rPr>
          <w:rFonts w:ascii="微软雅黑" w:hAnsi="微软雅黑" w:hint="eastAsia"/>
          <w:b/>
          <w:bCs/>
          <w:color w:val="ff6600"/>
          <w:kern w:val="44"/>
          <w:sz w:val="52"/>
          <w:szCs w:val="21"/>
        </w:rPr>
        <w:t>全球认证&amp;业界荣誉</w:t>
      </w:r>
      <w:r>
        <w:rPr>
          <w:rFonts w:ascii="Arial" w:cs="Arial" w:hAnsi="Arial"/>
          <w:color w:val="333333"/>
          <w:sz w:val="30"/>
          <w:szCs w:val="30"/>
        </w:rPr>
        <w:pict>
          <v:rect id="1045" fillcolor="#ff9933" stroked="f" style="position:absolute;margin-left:485.0pt;margin-top:-67.95pt;width:24.65pt;height:853.5pt;z-index:31;mso-position-horizontal-relative:text;mso-position-vertical-relative:text;mso-width-relative:page;mso-height-relative:page;mso-wrap-distance-left:0.0pt;mso-wrap-distance-right:0.0pt;visibility:visible;">
            <v:stroke on="f"/>
            <v:fill/>
          </v:rect>
        </w:pict>
      </w:r>
    </w:p>
    <w:p>
      <w:pPr>
        <w:pStyle w:val="style0"/>
        <w:ind w:firstLine="420"/>
        <w:rPr>
          <w:b/>
          <w:color w:val="e36c0a"/>
        </w:rPr>
      </w:pPr>
    </w:p>
    <w:tbl>
      <w:tblPr>
        <w:tblStyle w:val="style154"/>
        <w:tblpPr w:leftFromText="180" w:rightFromText="180" w:topFromText="0" w:bottomFromText="0" w:vertAnchor="text" w:horzAnchor="margin" w:tblpXSpec="left" w:tblpY="274"/>
        <w:tblW w:w="940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77"/>
        <w:gridCol w:w="8023"/>
      </w:tblGrid>
      <w:tr>
        <w:trPr>
          <w:trHeight w:val="1215" w:hRule="atLeast"/>
        </w:trPr>
        <w:tc>
          <w:tcPr>
            <w:tcW w:w="9400" w:type="dxa"/>
            <w:gridSpan w:val="2"/>
            <w:tcBorders>
              <w:top w:val="nil"/>
              <w:bottom w:val="single" w:sz="12" w:space="0" w:color="ea4604"/>
            </w:tcBorders>
            <w:shd w:val="clear" w:color="auto" w:fill="d9d9d9"/>
            <w:tcMar>
              <w:top w:w="57" w:type="dxa"/>
            </w:tcMar>
            <w:vAlign w:val="center"/>
          </w:tcPr>
          <w:p>
            <w:pPr>
              <w:pStyle w:val="style2"/>
              <w:spacing w:before="360"/>
              <w:jc w:val="center"/>
              <w:outlineLvl w:val="1"/>
              <w:rPr>
                <w:rFonts w:ascii="微软雅黑" w:hAnsi="微软雅黑"/>
              </w:rPr>
            </w:pPr>
            <w:r>
              <w:rPr>
                <w:rFonts w:ascii="微软雅黑" w:hAnsi="微软雅黑" w:hint="eastAsia"/>
                <w:color w:val="auto"/>
                <w:sz w:val="32"/>
                <w:szCs w:val="32"/>
              </w:rPr>
              <w:t>全球多项工商管理重要认证</w:t>
            </w:r>
          </w:p>
        </w:tc>
      </w:tr>
      <w:tr>
        <w:tblPrEx/>
        <w:trPr>
          <w:trHeight w:val="1666"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center"/>
              <w:rPr>
                <w:rFonts w:ascii="Arial" w:hAnsi="微软雅黑"/>
                <w:b/>
                <w:bCs/>
                <w:iCs/>
                <w:color w:val="ff6600"/>
                <w:sz w:val="24"/>
                <w:szCs w:val="24"/>
              </w:rPr>
            </w:pPr>
            <w:r>
              <w:rPr>
                <w:noProof/>
                <w:sz w:val="20"/>
                <w:szCs w:val="20"/>
              </w:rPr>
              <w:drawing>
                <wp:inline distL="0" distT="0" distB="0" distR="0">
                  <wp:extent cx="570230" cy="742950"/>
                  <wp:effectExtent l="0" t="0" r="8890" b="3810"/>
                  <wp:docPr id="104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1" cstate="print"/>
                          <a:srcRect l="0" t="0" r="0" b="0"/>
                          <a:stretch/>
                        </pic:blipFill>
                        <pic:spPr>
                          <a:xfrm rot="0">
                            <a:off x="0" y="0"/>
                            <a:ext cx="570230" cy="742950"/>
                          </a:xfrm>
                          <a:prstGeom prst="rect"/>
                          <a:ln>
                            <a:noFill/>
                          </a:ln>
                        </pic:spPr>
                      </pic:pic>
                    </a:graphicData>
                  </a:graphic>
                </wp:inline>
              </w:drawing>
            </w:r>
          </w:p>
        </w:tc>
        <w:tc>
          <w:tcPr>
            <w:tcW w:w="8023" w:type="dxa"/>
            <w:tcBorders>
              <w:top w:val="single" w:sz="12" w:space="0" w:color="ea4604"/>
              <w:bottom w:val="single" w:sz="12" w:space="0" w:color="ffffff"/>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美国</w:t>
            </w:r>
            <w:r>
              <w:rPr>
                <w:rFonts w:hint="eastAsia"/>
                <w:b/>
                <w:color w:val="ff6600"/>
                <w:szCs w:val="21"/>
              </w:rPr>
              <w:t>ACBSP</w:t>
            </w:r>
            <w:r>
              <w:rPr>
                <w:rFonts w:hint="eastAsia"/>
                <w:b/>
                <w:color w:val="ff6600"/>
                <w:szCs w:val="21"/>
              </w:rPr>
              <w:t>认证</w:t>
            </w:r>
          </w:p>
          <w:p>
            <w:pPr>
              <w:pStyle w:val="style0"/>
              <w:ind w:left="34" w:leftChars="16" w:firstLine="0" w:firstLineChars="0"/>
              <w:jc w:val="both"/>
              <w:rPr>
                <w:rFonts w:ascii="微软雅黑" w:hAnsi="微软雅黑"/>
                <w:szCs w:val="21"/>
              </w:rPr>
            </w:pPr>
            <w:r>
              <w:rPr>
                <w:rFonts w:ascii="微软雅黑" w:hAnsi="微软雅黑" w:hint="eastAsia"/>
                <w:szCs w:val="21"/>
              </w:rPr>
              <w:t>美国高等教育认证委员会（CHEA）承认的美国两大商学院认证机构之一， 是对商学院教学和学习成果的质量认证。</w:t>
            </w:r>
          </w:p>
        </w:tc>
      </w:tr>
      <w:tr>
        <w:tblPrEx/>
        <w:trPr>
          <w:trHeight w:val="1597"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both"/>
              <w:rPr>
                <w:rFonts w:ascii="Arial" w:hAnsi="微软雅黑"/>
                <w:b/>
                <w:bCs/>
                <w:iCs/>
                <w:color w:val="ff6600"/>
                <w:sz w:val="24"/>
                <w:szCs w:val="24"/>
              </w:rPr>
            </w:pPr>
            <w:r>
              <w:rPr>
                <w:rFonts w:ascii="Arial" w:hAnsi="微软雅黑"/>
                <w:b/>
                <w:bCs/>
                <w:iCs/>
                <w:noProof/>
                <w:color w:val="ff6600"/>
                <w:sz w:val="24"/>
                <w:szCs w:val="24"/>
              </w:rPr>
              <w:drawing>
                <wp:inline distL="0" distT="0" distB="0" distR="0">
                  <wp:extent cx="771525" cy="388620"/>
                  <wp:effectExtent l="0" t="0" r="5715" b="7620"/>
                  <wp:docPr id="1047"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4"/>
                          <pic:cNvPicPr/>
                        </pic:nvPicPr>
                        <pic:blipFill>
                          <a:blip r:embed="rId12" cstate="print"/>
                          <a:srcRect l="0" t="0" r="0" b="0"/>
                          <a:stretch/>
                        </pic:blipFill>
                        <pic:spPr>
                          <a:xfrm rot="0">
                            <a:off x="0" y="0"/>
                            <a:ext cx="771525" cy="388620"/>
                          </a:xfrm>
                          <a:prstGeom prst="rect"/>
                          <a:ln>
                            <a:noFill/>
                          </a:ln>
                        </pic:spPr>
                      </pic:pic>
                    </a:graphicData>
                  </a:graphic>
                </wp:inline>
              </w:drawing>
            </w:r>
          </w:p>
        </w:tc>
        <w:tc>
          <w:tcPr>
            <w:tcW w:w="8023" w:type="dxa"/>
            <w:tcBorders>
              <w:top w:val="single" w:sz="12" w:space="0" w:color="ea4604"/>
              <w:bottom w:val="single" w:sz="12" w:space="0" w:color="ffffff"/>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荷兰</w:t>
            </w:r>
            <w:r>
              <w:rPr>
                <w:rFonts w:hint="eastAsia"/>
                <w:b/>
                <w:color w:val="ff6600"/>
                <w:szCs w:val="21"/>
              </w:rPr>
              <w:t>NVAO</w:t>
            </w:r>
            <w:r>
              <w:rPr>
                <w:rFonts w:hint="eastAsia"/>
                <w:b/>
                <w:color w:val="ff6600"/>
                <w:szCs w:val="21"/>
              </w:rPr>
              <w:t>认证</w:t>
            </w:r>
          </w:p>
          <w:p>
            <w:pPr>
              <w:pStyle w:val="style0"/>
              <w:ind w:left="34" w:leftChars="16" w:firstLine="0" w:firstLineChars="0"/>
              <w:jc w:val="both"/>
              <w:rPr>
                <w:sz w:val="19"/>
                <w:szCs w:val="19"/>
              </w:rPr>
            </w:pPr>
            <w:r>
              <w:rPr>
                <w:rFonts w:ascii="微软雅黑" w:hAnsi="微软雅黑" w:hint="eastAsia"/>
                <w:szCs w:val="21"/>
              </w:rPr>
              <w:t>由荷兰政府建立，对全球荷兰语地区本科和硕士项目给予专业和客观认证的顶级政府认证机构。</w:t>
            </w:r>
          </w:p>
        </w:tc>
      </w:tr>
      <w:tr>
        <w:tblPrEx/>
        <w:trPr>
          <w:trHeight w:val="1666"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both"/>
              <w:rPr>
                <w:rFonts w:ascii="Arial" w:hAnsi="微软雅黑"/>
                <w:b/>
                <w:bCs/>
                <w:iCs/>
                <w:color w:val="ff6600"/>
                <w:sz w:val="24"/>
                <w:szCs w:val="24"/>
              </w:rPr>
            </w:pPr>
            <w:r>
              <w:rPr>
                <w:rFonts w:ascii="Arial" w:hAnsi="微软雅黑"/>
                <w:b/>
                <w:bCs/>
                <w:iCs/>
                <w:noProof/>
                <w:color w:val="ff6600"/>
                <w:sz w:val="24"/>
                <w:szCs w:val="24"/>
              </w:rPr>
              <w:drawing>
                <wp:inline distL="0" distT="0" distB="0" distR="0">
                  <wp:extent cx="771525" cy="288925"/>
                  <wp:effectExtent l="0" t="0" r="5715" b="635"/>
                  <wp:docPr id="1048"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13" cstate="print"/>
                          <a:srcRect l="0" t="0" r="0" b="0"/>
                          <a:stretch/>
                        </pic:blipFill>
                        <pic:spPr>
                          <a:xfrm rot="0">
                            <a:off x="0" y="0"/>
                            <a:ext cx="771525" cy="288925"/>
                          </a:xfrm>
                          <a:prstGeom prst="rect"/>
                        </pic:spPr>
                      </pic:pic>
                    </a:graphicData>
                  </a:graphic>
                </wp:inline>
              </w:drawing>
            </w:r>
          </w:p>
        </w:tc>
        <w:tc>
          <w:tcPr>
            <w:tcW w:w="8023" w:type="dxa"/>
            <w:tcBorders>
              <w:top w:val="single" w:sz="12" w:space="0" w:color="ea4604"/>
              <w:bottom w:val="single" w:sz="12" w:space="0" w:color="ffffff"/>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荷兰</w:t>
            </w:r>
            <w:r>
              <w:rPr>
                <w:rFonts w:hint="eastAsia"/>
                <w:b/>
                <w:color w:val="ff6600"/>
                <w:szCs w:val="21"/>
              </w:rPr>
              <w:t>CEDEO</w:t>
            </w:r>
            <w:r>
              <w:rPr>
                <w:rFonts w:hint="eastAsia"/>
                <w:b/>
                <w:color w:val="ff6600"/>
                <w:szCs w:val="21"/>
              </w:rPr>
              <w:t>认证</w:t>
            </w:r>
          </w:p>
          <w:p>
            <w:pPr>
              <w:pStyle w:val="style0"/>
              <w:ind w:left="34" w:leftChars="16" w:firstLine="0" w:firstLineChars="0"/>
              <w:jc w:val="both"/>
              <w:rPr>
                <w:sz w:val="19"/>
                <w:szCs w:val="19"/>
              </w:rPr>
            </w:pPr>
            <w:r>
              <w:rPr>
                <w:rFonts w:ascii="微软雅黑" w:hAnsi="微软雅黑" w:hint="eastAsia"/>
                <w:szCs w:val="21"/>
              </w:rPr>
              <w:t>由荷兰王国经济事务部支持，以雇主满意度调查为依据，从质量、持续性、业务重点角度，为荷兰教育和培训机构提供的项目认证。</w:t>
            </w:r>
          </w:p>
        </w:tc>
      </w:tr>
      <w:tr>
        <w:tblPrEx/>
        <w:trPr>
          <w:trHeight w:val="1716"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both"/>
              <w:rPr>
                <w:rFonts w:ascii="Arial" w:hAnsi="微软雅黑"/>
                <w:b/>
                <w:bCs/>
                <w:iCs/>
                <w:color w:val="ff6600"/>
                <w:sz w:val="24"/>
                <w:szCs w:val="24"/>
              </w:rPr>
            </w:pPr>
            <w:r>
              <w:rPr>
                <w:rFonts w:ascii="Arial" w:hAnsi="微软雅黑"/>
                <w:b/>
                <w:bCs/>
                <w:iCs/>
                <w:noProof/>
                <w:color w:val="ff6600"/>
                <w:sz w:val="24"/>
                <w:szCs w:val="24"/>
              </w:rPr>
              <w:drawing>
                <wp:inline distL="0" distT="0" distB="0" distR="0">
                  <wp:extent cx="771525" cy="291465"/>
                  <wp:effectExtent l="0" t="0" r="5715" b="13334"/>
                  <wp:docPr id="1049"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14" cstate="print"/>
                          <a:srcRect l="0" t="0" r="0" b="0"/>
                          <a:stretch/>
                        </pic:blipFill>
                        <pic:spPr>
                          <a:xfrm rot="0">
                            <a:off x="0" y="0"/>
                            <a:ext cx="771525" cy="291465"/>
                          </a:xfrm>
                          <a:prstGeom prst="rect"/>
                          <a:ln>
                            <a:noFill/>
                          </a:ln>
                        </pic:spPr>
                      </pic:pic>
                    </a:graphicData>
                  </a:graphic>
                </wp:inline>
              </w:drawing>
            </w:r>
          </w:p>
        </w:tc>
        <w:tc>
          <w:tcPr>
            <w:tcW w:w="8023" w:type="dxa"/>
            <w:tcBorders>
              <w:top w:val="single" w:sz="12" w:space="0" w:color="ea4604"/>
              <w:bottom w:val="single" w:sz="12" w:space="0" w:color="ea4604"/>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瑞士</w:t>
            </w:r>
            <w:r>
              <w:rPr>
                <w:rFonts w:hint="eastAsia"/>
                <w:b/>
                <w:color w:val="ff6600"/>
                <w:szCs w:val="21"/>
              </w:rPr>
              <w:t>eduQua</w:t>
            </w:r>
            <w:r>
              <w:rPr>
                <w:rFonts w:hint="eastAsia"/>
                <w:b/>
                <w:color w:val="ff6600"/>
                <w:szCs w:val="21"/>
              </w:rPr>
              <w:t>认证</w:t>
            </w:r>
          </w:p>
          <w:p>
            <w:pPr>
              <w:pStyle w:val="style0"/>
              <w:ind w:left="34" w:leftChars="16" w:firstLine="0" w:firstLineChars="0"/>
              <w:jc w:val="both"/>
              <w:rPr>
                <w:sz w:val="19"/>
                <w:szCs w:val="19"/>
              </w:rPr>
            </w:pPr>
            <w:r>
              <w:rPr>
                <w:rFonts w:ascii="微软雅黑" w:hAnsi="微软雅黑" w:hint="eastAsia"/>
                <w:szCs w:val="21"/>
              </w:rPr>
              <w:t>瑞士政府高等教育认证，从六个维度（课程提供、客户沟通、价值传递、职业帮助、学习效果、质量保证及发展）对学院的继续教育质量进行认证。</w:t>
            </w:r>
          </w:p>
        </w:tc>
      </w:tr>
      <w:tr>
        <w:tblPrEx/>
        <w:trPr>
          <w:trHeight w:val="1597"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both"/>
              <w:rPr>
                <w:rFonts w:ascii="Arial" w:hAnsi="微软雅黑"/>
                <w:b/>
                <w:bCs/>
                <w:iCs/>
                <w:color w:val="ff6600"/>
                <w:sz w:val="24"/>
                <w:szCs w:val="24"/>
              </w:rPr>
            </w:pPr>
            <w:r>
              <w:rPr>
                <w:rFonts w:ascii="Arial" w:hAnsi="微软雅黑"/>
                <w:b/>
                <w:bCs/>
                <w:iCs/>
                <w:noProof/>
                <w:color w:val="ff6600"/>
                <w:sz w:val="24"/>
                <w:szCs w:val="24"/>
              </w:rPr>
              <w:drawing>
                <wp:inline distL="0" distT="0" distB="0" distR="0">
                  <wp:extent cx="838200" cy="243205"/>
                  <wp:effectExtent l="0" t="0" r="0" b="635"/>
                  <wp:docPr id="1050"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15" cstate="print"/>
                          <a:srcRect l="0" t="0" r="0" b="0"/>
                          <a:stretch/>
                        </pic:blipFill>
                        <pic:spPr>
                          <a:xfrm rot="0">
                            <a:off x="0" y="0"/>
                            <a:ext cx="838200" cy="243205"/>
                          </a:xfrm>
                          <a:prstGeom prst="rect"/>
                          <a:ln>
                            <a:noFill/>
                          </a:ln>
                        </pic:spPr>
                      </pic:pic>
                    </a:graphicData>
                  </a:graphic>
                </wp:inline>
              </w:drawing>
            </w:r>
          </w:p>
        </w:tc>
        <w:tc>
          <w:tcPr>
            <w:tcW w:w="8023" w:type="dxa"/>
            <w:tcBorders>
              <w:top w:val="single" w:sz="12" w:space="0" w:color="ea4604"/>
              <w:bottom w:val="single" w:sz="12" w:space="0" w:color="ffffff"/>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欧洲</w:t>
            </w:r>
            <w:r>
              <w:rPr>
                <w:rFonts w:hint="eastAsia"/>
                <w:b/>
                <w:color w:val="ff6600"/>
                <w:szCs w:val="21"/>
              </w:rPr>
              <w:t>ATHEA</w:t>
            </w:r>
            <w:r>
              <w:rPr>
                <w:rFonts w:hint="eastAsia"/>
                <w:b/>
                <w:color w:val="ff6600"/>
                <w:szCs w:val="21"/>
              </w:rPr>
              <w:t>认证</w:t>
            </w:r>
          </w:p>
          <w:p>
            <w:pPr>
              <w:pStyle w:val="style0"/>
              <w:ind w:left="34" w:leftChars="16" w:firstLine="0" w:firstLineChars="0"/>
              <w:jc w:val="both"/>
              <w:rPr>
                <w:sz w:val="19"/>
                <w:szCs w:val="19"/>
              </w:rPr>
            </w:pPr>
            <w:r>
              <w:rPr>
                <w:rFonts w:ascii="微软雅黑" w:hAnsi="微软雅黑" w:hint="eastAsia"/>
                <w:szCs w:val="21"/>
              </w:rPr>
              <w:t>以欧洲标准对跨国高等教育质量进行认证的跨国高等教育认证协会。</w:t>
            </w:r>
          </w:p>
        </w:tc>
      </w:tr>
      <w:tr>
        <w:tblPrEx/>
        <w:trPr>
          <w:trHeight w:val="1487" w:hRule="atLeast"/>
        </w:trPr>
        <w:tc>
          <w:tcPr>
            <w:tcW w:w="1377" w:type="dxa"/>
            <w:tcBorders>
              <w:top w:val="single" w:sz="12" w:space="0" w:color="ea4604"/>
              <w:bottom w:val="single" w:sz="12" w:space="0" w:color="ea4604"/>
            </w:tcBorders>
            <w:shd w:val="clear" w:color="auto" w:fill="ffffff"/>
            <w:tcMar>
              <w:top w:w="57" w:type="dxa"/>
            </w:tcMar>
            <w:vAlign w:val="center"/>
          </w:tcPr>
          <w:p>
            <w:pPr>
              <w:pStyle w:val="style0"/>
              <w:ind w:firstLine="0" w:firstLineChars="0"/>
              <w:jc w:val="both"/>
              <w:rPr>
                <w:rFonts w:ascii="Arial" w:hAnsi="微软雅黑"/>
                <w:b/>
                <w:bCs/>
                <w:iCs/>
                <w:color w:val="ff6600"/>
                <w:sz w:val="24"/>
                <w:szCs w:val="24"/>
              </w:rPr>
            </w:pPr>
            <w:r>
              <w:rPr>
                <w:rFonts w:ascii="Arial" w:hAnsi="微软雅黑"/>
                <w:b/>
                <w:bCs/>
                <w:iCs/>
                <w:noProof/>
                <w:color w:val="ff6600"/>
                <w:sz w:val="24"/>
                <w:szCs w:val="24"/>
              </w:rPr>
              <w:drawing>
                <wp:inline distL="0" distT="0" distB="0" distR="0">
                  <wp:extent cx="838200" cy="254000"/>
                  <wp:effectExtent l="0" t="0" r="0" b="5080"/>
                  <wp:docPr id="1051"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6"/>
                          <pic:cNvPicPr/>
                        </pic:nvPicPr>
                        <pic:blipFill>
                          <a:blip r:embed="rId16" cstate="print"/>
                          <a:srcRect l="0" t="0" r="0" b="0"/>
                          <a:stretch/>
                        </pic:blipFill>
                        <pic:spPr>
                          <a:xfrm rot="0">
                            <a:off x="0" y="0"/>
                            <a:ext cx="838200" cy="254000"/>
                          </a:xfrm>
                          <a:prstGeom prst="rect"/>
                        </pic:spPr>
                      </pic:pic>
                    </a:graphicData>
                  </a:graphic>
                </wp:inline>
              </w:drawing>
            </w:r>
          </w:p>
        </w:tc>
        <w:tc>
          <w:tcPr>
            <w:tcW w:w="8023" w:type="dxa"/>
            <w:tcBorders>
              <w:top w:val="single" w:sz="12" w:space="0" w:color="ea4604"/>
              <w:bottom w:val="single" w:sz="12" w:space="0" w:color="ea4604"/>
            </w:tcBorders>
            <w:shd w:val="clear" w:color="auto" w:fill="auto"/>
            <w:tcMar>
              <w:top w:w="57" w:type="dxa"/>
            </w:tcMar>
            <w:vAlign w:val="center"/>
          </w:tcPr>
          <w:p>
            <w:pPr>
              <w:pStyle w:val="style0"/>
              <w:ind w:left="34" w:leftChars="16" w:firstLine="0" w:firstLineChars="0"/>
              <w:jc w:val="both"/>
              <w:rPr>
                <w:b/>
                <w:color w:val="ff6600"/>
                <w:szCs w:val="21"/>
              </w:rPr>
            </w:pPr>
            <w:r>
              <w:rPr>
                <w:rFonts w:hint="eastAsia"/>
                <w:b/>
                <w:color w:val="ff6600"/>
                <w:szCs w:val="21"/>
              </w:rPr>
              <w:t>荷兰</w:t>
            </w:r>
            <w:r>
              <w:rPr>
                <w:rFonts w:hint="eastAsia"/>
                <w:b/>
                <w:color w:val="ff6600"/>
                <w:szCs w:val="21"/>
              </w:rPr>
              <w:t>NRTO</w:t>
            </w:r>
            <w:r>
              <w:rPr>
                <w:rFonts w:hint="eastAsia"/>
                <w:b/>
                <w:color w:val="ff6600"/>
                <w:szCs w:val="21"/>
              </w:rPr>
              <w:t>认证</w:t>
            </w:r>
          </w:p>
          <w:p>
            <w:pPr>
              <w:pStyle w:val="style0"/>
              <w:ind w:left="34" w:leftChars="16" w:firstLine="0" w:firstLineChars="0"/>
              <w:jc w:val="both"/>
              <w:rPr>
                <w:sz w:val="19"/>
                <w:szCs w:val="19"/>
              </w:rPr>
            </w:pPr>
            <w:r>
              <w:rPr>
                <w:rFonts w:ascii="微软雅黑" w:hAnsi="微软雅黑" w:hint="eastAsia"/>
                <w:szCs w:val="21"/>
              </w:rPr>
              <w:t>荷兰职业教育培训机构的质量审核认证。</w:t>
            </w:r>
          </w:p>
        </w:tc>
      </w:tr>
    </w:tbl>
    <w:p>
      <w:pPr>
        <w:pStyle w:val="style0"/>
        <w:ind w:firstLine="108" w:firstLineChars="45"/>
        <w:rPr>
          <w:b/>
          <w:color w:val="e36c0a"/>
          <w:sz w:val="24"/>
          <w:szCs w:val="24"/>
        </w:rPr>
      </w:pPr>
    </w:p>
    <w:p>
      <w:pPr>
        <w:pStyle w:val="style0"/>
        <w:ind w:left="514" w:leftChars="45" w:hanging="420" w:hangingChars="200"/>
        <w:rPr>
          <w:b/>
          <w:color w:val="e36c0a"/>
        </w:rPr>
      </w:pPr>
    </w:p>
    <w:p>
      <w:pPr>
        <w:pStyle w:val="style0"/>
        <w:ind w:left="694" w:leftChars="45" w:hanging="600" w:hangingChars="200"/>
        <w:rPr>
          <w:rFonts w:ascii="宋体" w:cs="宋体" w:eastAsia="宋体" w:hAnsi="宋体"/>
          <w:b/>
          <w:color w:val="e36c0a"/>
          <w:sz w:val="24"/>
          <w:szCs w:val="24"/>
        </w:rPr>
      </w:pPr>
      <w:r>
        <w:rPr>
          <w:rFonts w:ascii="Arial" w:cs="Arial" w:hAnsi="Arial"/>
          <w:color w:val="333333"/>
          <w:sz w:val="30"/>
          <w:szCs w:val="30"/>
        </w:rPr>
        <w:pict>
          <v:rect id="1052" fillcolor="#ff9933" stroked="f" style="position:absolute;margin-left:485.0pt;margin-top:-67.95pt;width:24.65pt;height:853.5pt;z-index:32;mso-position-horizontal-relative:text;mso-position-vertical-relative:text;mso-width-relative:page;mso-height-relative:page;mso-wrap-distance-left:0.0pt;mso-wrap-distance-right:0.0pt;visibility:visible;">
            <v:stroke on="f"/>
            <v:fill/>
          </v:rect>
        </w:pict>
      </w:r>
      <w:r>
        <w:rPr>
          <w:rFonts w:hint="eastAsia"/>
          <w:noProof/>
        </w:rPr>
        <w:drawing>
          <wp:anchor distT="0" distB="0" distL="0" distR="0" simplePos="false" relativeHeight="3" behindDoc="true" locked="false" layoutInCell="true" allowOverlap="true">
            <wp:simplePos x="0" y="0"/>
            <wp:positionH relativeFrom="column">
              <wp:posOffset>2473960</wp:posOffset>
            </wp:positionH>
            <wp:positionV relativeFrom="paragraph">
              <wp:posOffset>221615</wp:posOffset>
            </wp:positionV>
            <wp:extent cx="3245485" cy="4881245"/>
            <wp:effectExtent l="19050" t="0" r="0" b="0"/>
            <wp:wrapNone/>
            <wp:docPr id="1053" name="图片 1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35"/>
                    <pic:cNvPicPr/>
                  </pic:nvPicPr>
                  <pic:blipFill>
                    <a:blip r:embed="rId17" cstate="print"/>
                    <a:srcRect l="0" t="0" r="0" b="0"/>
                    <a:stretch/>
                  </pic:blipFill>
                  <pic:spPr>
                    <a:xfrm rot="0">
                      <a:off x="0" y="0"/>
                      <a:ext cx="3245485" cy="4881245"/>
                    </a:xfrm>
                    <a:prstGeom prst="rect"/>
                  </pic:spPr>
                </pic:pic>
              </a:graphicData>
            </a:graphic>
          </wp:anchor>
        </w:drawing>
      </w:r>
    </w:p>
    <w:p>
      <w:pPr>
        <w:pStyle w:val="style0"/>
        <w:ind w:left="576" w:leftChars="45" w:hanging="482" w:hangingChars="200"/>
        <w:rPr>
          <w:rFonts w:ascii="宋体" w:cs="宋体" w:eastAsia="宋体" w:hAnsi="宋体"/>
          <w:b/>
          <w:color w:val="e36c0a"/>
          <w:sz w:val="24"/>
          <w:szCs w:val="24"/>
        </w:rPr>
      </w:pPr>
    </w:p>
    <w:p>
      <w:pPr>
        <w:pStyle w:val="style0"/>
        <w:ind w:left="576" w:leftChars="45" w:hanging="482" w:hangingChars="200"/>
        <w:rPr>
          <w:rFonts w:ascii="宋体" w:cs="宋体" w:eastAsia="宋体" w:hAnsi="宋体"/>
          <w:b/>
          <w:color w:val="e36c0a"/>
          <w:sz w:val="24"/>
          <w:szCs w:val="24"/>
        </w:rPr>
      </w:pPr>
    </w:p>
    <w:p>
      <w:pPr>
        <w:pStyle w:val="style0"/>
        <w:ind w:firstLine="0" w:firstLineChars="0"/>
        <w:rPr>
          <w:rFonts w:ascii="宋体" w:cs="宋体" w:eastAsia="宋体" w:hAnsi="宋体"/>
          <w:b/>
          <w:color w:val="e36c0a"/>
          <w:sz w:val="24"/>
          <w:szCs w:val="24"/>
        </w:rPr>
      </w:pPr>
    </w:p>
    <w:p>
      <w:pPr>
        <w:pStyle w:val="style0"/>
        <w:ind w:firstLine="0" w:firstLineChars="0"/>
        <w:rPr>
          <w:rFonts w:ascii="宋体" w:cs="宋体" w:eastAsia="宋体" w:hAnsi="宋体"/>
          <w:b/>
          <w:color w:val="e36c0a"/>
          <w:sz w:val="24"/>
          <w:szCs w:val="24"/>
        </w:rPr>
      </w:pPr>
    </w:p>
    <w:p>
      <w:pPr>
        <w:pStyle w:val="style0"/>
        <w:ind w:firstLine="0" w:firstLineChars="0"/>
        <w:rPr>
          <w:rFonts w:ascii="宋体" w:cs="宋体" w:eastAsia="宋体" w:hAnsi="宋体"/>
          <w:b/>
          <w:color w:val="e36c0a"/>
          <w:sz w:val="24"/>
          <w:szCs w:val="24"/>
        </w:rPr>
      </w:pPr>
    </w:p>
    <w:p>
      <w:pPr>
        <w:pStyle w:val="style0"/>
        <w:ind w:left="576" w:leftChars="45" w:hanging="482" w:hangingChars="200"/>
        <w:rPr>
          <w:rFonts w:ascii="宋体" w:cs="宋体" w:eastAsia="宋体" w:hAnsi="宋体"/>
          <w:b/>
          <w:color w:val="e36c0a"/>
          <w:sz w:val="24"/>
          <w:szCs w:val="24"/>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420"/>
        <w:rPr/>
      </w:pPr>
    </w:p>
    <w:p>
      <w:pPr>
        <w:pStyle w:val="style0"/>
        <w:ind w:firstLine="0" w:firstLineChars="0"/>
        <w:rPr/>
      </w:pPr>
      <w:r>
        <w:rPr/>
        <w:pict>
          <v:rect id="1054" stroked="t" style="position:absolute;margin-left:12.75pt;margin-top:16.35pt;width:455.65pt;height:381.15pt;z-index:-2147483601;mso-position-horizontal-relative:text;mso-position-vertical-relative:text;mso-width-relative:page;mso-height-relative:page;mso-wrap-distance-left:0.0pt;mso-wrap-distance-right:0.0pt;visibility:visible;">
            <v:stroke color="#ff6600" weight="2.25pt"/>
            <v:fill/>
          </v:rect>
        </w:pict>
      </w:r>
    </w:p>
    <w:p>
      <w:pPr>
        <w:pStyle w:val="style2"/>
        <w:tabs>
          <w:tab w:val="left" w:leader="none" w:pos="1418"/>
        </w:tabs>
        <w:spacing w:before="360"/>
        <w:ind w:left="1134" w:hanging="425"/>
        <w:rPr/>
      </w:pPr>
      <w:r>
        <w:tab/>
      </w:r>
      <w:r>
        <w:rPr>
          <w:rFonts w:hint="eastAsia"/>
        </w:rPr>
        <w:t>业界荣誉</w:t>
      </w:r>
    </w:p>
    <w:p>
      <w:pPr>
        <w:pStyle w:val="style179"/>
        <w:numPr>
          <w:ilvl w:val="0"/>
          <w:numId w:val="6"/>
        </w:numPr>
        <w:tabs>
          <w:tab w:val="left" w:leader="none" w:pos="1418"/>
        </w:tabs>
        <w:spacing w:afterLines="50"/>
        <w:ind w:left="1134" w:right="1159" w:rightChars="552" w:hanging="425"/>
        <w:rPr>
          <w:rFonts w:ascii="微软雅黑" w:hAnsi="微软雅黑"/>
          <w:b/>
          <w:color w:val="ff6600"/>
        </w:rPr>
      </w:pPr>
      <w:r>
        <w:rPr>
          <w:rFonts w:ascii="微软雅黑" w:hAnsi="微软雅黑" w:hint="eastAsia"/>
          <w:b/>
          <w:color w:val="ff6600"/>
        </w:rPr>
        <w:t>晋级全球一等MBA项目</w:t>
      </w:r>
    </w:p>
    <w:p>
      <w:pPr>
        <w:pStyle w:val="style0"/>
        <w:tabs>
          <w:tab w:val="left" w:leader="none" w:pos="1418"/>
        </w:tabs>
        <w:spacing w:afterLines="50"/>
        <w:ind w:left="1132" w:leftChars="539" w:right="1159" w:rightChars="552" w:firstLine="0" w:firstLineChars="0"/>
        <w:rPr>
          <w:rFonts w:ascii="微软雅黑" w:hAnsi="微软雅黑"/>
          <w:szCs w:val="21"/>
        </w:rPr>
      </w:pPr>
      <w:r>
        <w:rPr>
          <w:rFonts w:ascii="微软雅黑" w:hAnsi="微软雅黑"/>
          <w:szCs w:val="21"/>
        </w:rPr>
        <w:t>2016</w:t>
      </w:r>
      <w:r>
        <w:rPr>
          <w:rFonts w:ascii="微软雅黑" w:hAnsi="微软雅黑" w:hint="eastAsia"/>
          <w:szCs w:val="21"/>
        </w:rPr>
        <w:t>年</w:t>
      </w:r>
      <w:r>
        <w:rPr>
          <w:rFonts w:ascii="微软雅黑" w:hAnsi="微软雅黑"/>
          <w:szCs w:val="21"/>
        </w:rPr>
        <w:t>2</w:t>
      </w:r>
      <w:r>
        <w:rPr>
          <w:rFonts w:ascii="微软雅黑" w:hAnsi="微软雅黑" w:hint="eastAsia"/>
          <w:szCs w:val="21"/>
        </w:rPr>
        <w:t>月，被著名《</w:t>
      </w:r>
      <w:r>
        <w:rPr>
          <w:rFonts w:ascii="微软雅黑" w:hAnsi="微软雅黑"/>
          <w:szCs w:val="21"/>
        </w:rPr>
        <w:t>CEO</w:t>
      </w:r>
      <w:r>
        <w:rPr>
          <w:rFonts w:ascii="微软雅黑" w:hAnsi="微软雅黑" w:hint="eastAsia"/>
          <w:szCs w:val="21"/>
        </w:rPr>
        <w:t>》杂志评选为欧洲一等</w:t>
      </w:r>
      <w:r>
        <w:rPr>
          <w:rFonts w:ascii="微软雅黑" w:hAnsi="微软雅黑"/>
          <w:szCs w:val="21"/>
        </w:rPr>
        <w:t>MBA</w:t>
      </w:r>
      <w:r>
        <w:rPr>
          <w:rFonts w:ascii="微软雅黑" w:hAnsi="微软雅黑" w:hint="eastAsia"/>
          <w:szCs w:val="21"/>
        </w:rPr>
        <w:t>项目。2017再次入选，并与</w:t>
      </w:r>
      <w:r>
        <w:rPr>
          <w:rFonts w:ascii="微软雅黑" w:hAnsi="微软雅黑"/>
          <w:szCs w:val="21"/>
        </w:rPr>
        <w:t>IESE</w:t>
      </w:r>
      <w:r>
        <w:rPr>
          <w:rFonts w:ascii="微软雅黑" w:hAnsi="微软雅黑" w:hint="eastAsia"/>
          <w:szCs w:val="21"/>
        </w:rPr>
        <w:t>（拥有全球前十位MBA）、</w:t>
      </w:r>
      <w:r>
        <w:rPr>
          <w:rFonts w:ascii="微软雅黑" w:hAnsi="微软雅黑"/>
          <w:szCs w:val="21"/>
        </w:rPr>
        <w:t>ESADE</w:t>
      </w:r>
      <w:r>
        <w:rPr>
          <w:rFonts w:ascii="微软雅黑" w:hAnsi="微软雅黑" w:hint="eastAsia"/>
          <w:szCs w:val="21"/>
        </w:rPr>
        <w:t>（拥有全球前十位MBA）、中欧商学院等全球著名商学院的</w:t>
      </w:r>
      <w:r>
        <w:rPr>
          <w:rFonts w:ascii="微软雅黑" w:hAnsi="微软雅黑"/>
          <w:szCs w:val="21"/>
        </w:rPr>
        <w:t>MBA</w:t>
      </w:r>
      <w:r>
        <w:rPr>
          <w:rFonts w:ascii="微软雅黑" w:hAnsi="微软雅黑" w:hint="eastAsia"/>
          <w:szCs w:val="21"/>
        </w:rPr>
        <w:t>项目并驾齐驱，晋级全球一等MBA项目。</w:t>
      </w:r>
    </w:p>
    <w:p>
      <w:pPr>
        <w:pStyle w:val="style179"/>
        <w:numPr>
          <w:ilvl w:val="0"/>
          <w:numId w:val="6"/>
        </w:numPr>
        <w:tabs>
          <w:tab w:val="left" w:leader="none" w:pos="1418"/>
        </w:tabs>
        <w:spacing w:afterLines="50"/>
        <w:ind w:left="1134" w:right="1159" w:rightChars="552" w:hanging="425"/>
        <w:rPr>
          <w:rFonts w:ascii="微软雅黑" w:hAnsi="微软雅黑"/>
          <w:b/>
          <w:color w:val="ff6600"/>
        </w:rPr>
      </w:pPr>
      <w:r>
        <w:rPr>
          <w:rFonts w:ascii="微软雅黑" w:hAnsi="微软雅黑" w:hint="eastAsia"/>
          <w:b/>
          <w:color w:val="ff6600"/>
        </w:rPr>
        <w:t>连续六年教学内容第一名</w:t>
      </w:r>
    </w:p>
    <w:p>
      <w:pPr>
        <w:pStyle w:val="style0"/>
        <w:tabs>
          <w:tab w:val="left" w:leader="none" w:pos="1418"/>
        </w:tabs>
        <w:spacing w:afterLines="50"/>
        <w:ind w:left="1132" w:leftChars="539" w:right="1159" w:rightChars="552" w:firstLine="0" w:firstLineChars="0"/>
        <w:rPr>
          <w:rFonts w:ascii="微软雅黑" w:hAnsi="微软雅黑"/>
          <w:szCs w:val="21"/>
        </w:rPr>
      </w:pPr>
      <w:r>
        <w:rPr>
          <w:rFonts w:ascii="微软雅黑" w:hAnsi="微软雅黑"/>
          <w:szCs w:val="21"/>
        </w:rPr>
        <w:t>2013</w:t>
      </w:r>
      <w:r>
        <w:rPr>
          <w:rFonts w:ascii="微软雅黑" w:hAnsi="微软雅黑" w:hint="eastAsia"/>
          <w:szCs w:val="21"/>
        </w:rPr>
        <w:t>年，在荷兰著名管理杂志《</w:t>
      </w:r>
      <w:r>
        <w:rPr>
          <w:rFonts w:ascii="微软雅黑" w:hAnsi="微软雅黑"/>
          <w:szCs w:val="21"/>
        </w:rPr>
        <w:t>Intermediair</w:t>
      </w:r>
      <w:r>
        <w:rPr>
          <w:rFonts w:ascii="微软雅黑" w:hAnsi="微软雅黑" w:hint="eastAsia"/>
          <w:szCs w:val="21"/>
        </w:rPr>
        <w:t>》的全国双年度商学院评比中，连续六年蝉联教学内容第一名。</w:t>
      </w:r>
    </w:p>
    <w:p>
      <w:pPr>
        <w:pStyle w:val="style179"/>
        <w:numPr>
          <w:ilvl w:val="0"/>
          <w:numId w:val="6"/>
        </w:numPr>
        <w:tabs>
          <w:tab w:val="left" w:leader="none" w:pos="1418"/>
        </w:tabs>
        <w:spacing w:afterLines="50"/>
        <w:ind w:left="1134" w:right="1159" w:rightChars="552" w:hanging="425"/>
        <w:rPr>
          <w:rFonts w:ascii="微软雅黑" w:hAnsi="微软雅黑"/>
          <w:b/>
          <w:color w:val="ff6600"/>
        </w:rPr>
      </w:pPr>
      <w:r>
        <w:rPr>
          <w:rFonts w:ascii="微软雅黑" w:hAnsi="微软雅黑" w:hint="eastAsia"/>
          <w:b/>
          <w:color w:val="ff6600"/>
        </w:rPr>
        <w:t>商学院总分第一名</w:t>
      </w:r>
    </w:p>
    <w:p>
      <w:pPr>
        <w:pStyle w:val="style0"/>
        <w:tabs>
          <w:tab w:val="left" w:leader="none" w:pos="1418"/>
        </w:tabs>
        <w:spacing w:afterLines="50"/>
        <w:ind w:left="1132" w:leftChars="539" w:right="1159" w:rightChars="552" w:firstLine="0" w:firstLineChars="0"/>
        <w:rPr>
          <w:rFonts w:ascii="微软雅黑" w:hAnsi="微软雅黑"/>
          <w:szCs w:val="21"/>
        </w:rPr>
      </w:pPr>
      <w:r>
        <w:rPr>
          <w:rFonts w:ascii="微软雅黑" w:hAnsi="微软雅黑"/>
          <w:szCs w:val="21"/>
        </w:rPr>
        <w:t>2012</w:t>
      </w:r>
      <w:r>
        <w:rPr>
          <w:rFonts w:ascii="微软雅黑" w:hAnsi="微软雅黑" w:hint="eastAsia"/>
          <w:szCs w:val="21"/>
        </w:rPr>
        <w:t>年，在荷兰权威刊物《</w:t>
      </w:r>
      <w:r>
        <w:rPr>
          <w:rFonts w:ascii="微软雅黑" w:hAnsi="微软雅黑"/>
          <w:szCs w:val="21"/>
        </w:rPr>
        <w:t>MT</w:t>
      </w:r>
      <w:r>
        <w:rPr>
          <w:rFonts w:ascii="微软雅黑" w:hAnsi="微软雅黑" w:hint="eastAsia"/>
          <w:szCs w:val="21"/>
        </w:rPr>
        <w:t>管理团队》对全国商学院综合评比中，超过所有荷兰名校，获得总分第一名。</w:t>
      </w:r>
    </w:p>
    <w:p>
      <w:pPr>
        <w:pStyle w:val="style179"/>
        <w:numPr>
          <w:ilvl w:val="0"/>
          <w:numId w:val="6"/>
        </w:numPr>
        <w:tabs>
          <w:tab w:val="left" w:leader="none" w:pos="1418"/>
        </w:tabs>
        <w:spacing w:afterLines="50"/>
        <w:ind w:left="1134" w:right="1159" w:rightChars="552" w:hanging="425"/>
        <w:rPr>
          <w:rFonts w:ascii="微软雅黑" w:hAnsi="微软雅黑"/>
          <w:b/>
          <w:color w:val="ff6600"/>
        </w:rPr>
      </w:pPr>
      <w:r>
        <w:rPr>
          <w:rFonts w:ascii="微软雅黑" w:hAnsi="微软雅黑" w:hint="eastAsia"/>
          <w:b/>
          <w:color w:val="ff6600"/>
        </w:rPr>
        <w:t>连续八年入选国家奖学金项目</w:t>
      </w:r>
    </w:p>
    <w:p>
      <w:pPr>
        <w:pStyle w:val="style0"/>
        <w:tabs>
          <w:tab w:val="left" w:leader="none" w:pos="1172"/>
        </w:tabs>
        <w:ind w:firstLine="1155" w:firstLineChars="550"/>
        <w:rPr/>
      </w:pPr>
      <w:r>
        <w:rPr>
          <w:rFonts w:ascii="微软雅黑" w:hAnsi="微软雅黑" w:hint="eastAsia"/>
          <w:szCs w:val="21"/>
        </w:rPr>
        <w:t>自</w:t>
      </w:r>
      <w:r>
        <w:rPr>
          <w:rFonts w:ascii="微软雅黑" w:hAnsi="微软雅黑"/>
          <w:szCs w:val="21"/>
        </w:rPr>
        <w:t>2010</w:t>
      </w:r>
      <w:r>
        <w:rPr>
          <w:rFonts w:ascii="微软雅黑" w:hAnsi="微软雅黑" w:hint="eastAsia"/>
          <w:szCs w:val="21"/>
        </w:rPr>
        <w:t xml:space="preserve">年开始， </w:t>
      </w:r>
      <w:r>
        <w:rPr>
          <w:rFonts w:ascii="微软雅黑" w:hAnsi="微软雅黑"/>
          <w:szCs w:val="21"/>
        </w:rPr>
        <w:t>MBA</w:t>
      </w:r>
      <w:r>
        <w:rPr>
          <w:rFonts w:ascii="微软雅黑" w:hAnsi="微软雅黑" w:hint="eastAsia"/>
          <w:szCs w:val="21"/>
        </w:rPr>
        <w:t>项目连续八年入选荷兰国家奖学金（</w:t>
      </w:r>
      <w:r>
        <w:rPr>
          <w:rFonts w:ascii="微软雅黑" w:hAnsi="微软雅黑"/>
          <w:szCs w:val="21"/>
        </w:rPr>
        <w:t>NFP</w:t>
      </w:r>
      <w:r>
        <w:rPr>
          <w:rFonts w:ascii="微软雅黑" w:hAnsi="微软雅黑" w:hint="eastAsia"/>
          <w:szCs w:val="21"/>
        </w:rPr>
        <w:t>）项目。</w:t>
      </w:r>
    </w:p>
    <w:p>
      <w:pPr>
        <w:pStyle w:val="style0"/>
        <w:tabs>
          <w:tab w:val="left" w:leader="none" w:pos="1418"/>
        </w:tabs>
        <w:adjustRightInd/>
        <w:snapToGrid/>
        <w:spacing w:after="0"/>
        <w:ind w:left="1134" w:hanging="425" w:firstLineChars="0"/>
        <w:rPr/>
      </w:pPr>
      <w:r>
        <w:br w:type="page"/>
      </w:r>
    </w:p>
    <w:p>
      <w:pPr>
        <w:pStyle w:val="style1"/>
        <w:rPr/>
      </w:pPr>
      <w:r>
        <w:rPr/>
        <w:pict>
          <v:rect id="1055" stroked="t" style="position:absolute;margin-left:-40.35pt;margin-top:-29.6pt;width:527.25pt;height:773.85pt;z-index:-2147483599;mso-position-horizontal-relative:text;mso-position-vertical-relative:text;mso-width-relative:page;mso-height-relative:page;mso-wrap-distance-left:0.0pt;mso-wrap-distance-right:0.0pt;visibility:visible;">
            <v:stroke color="#ff6600" weight="2.25pt"/>
            <v:fill/>
          </v:rect>
        </w:pict>
      </w:r>
      <w:r>
        <w:rPr/>
        <w:pict>
          <v:rect id="1056" fillcolor="#8f8f8f" stroked="t" style="position:absolute;margin-left:-78.65pt;margin-top:-69.65pt;width:601.1pt;height:920.0pt;z-index:-2147483600;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rFonts w:hint="eastAsia"/>
        </w:rPr>
        <w:t>办学特色</w:t>
      </w:r>
    </w:p>
    <w:p>
      <w:pPr>
        <w:pStyle w:val="style0"/>
        <w:spacing w:afterLines="50"/>
        <w:ind w:firstLine="420"/>
        <w:rPr>
          <w:rFonts w:ascii="微软雅黑" w:hAnsi="微软雅黑"/>
          <w:szCs w:val="21"/>
        </w:rPr>
      </w:pPr>
    </w:p>
    <w:tbl>
      <w:tblPr>
        <w:tblStyle w:val="style154"/>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388"/>
      </w:tblGrid>
      <w:tr>
        <w:trPr/>
        <w:tc>
          <w:tcPr>
            <w:tcW w:w="4786" w:type="dxa"/>
            <w:tcBorders>
              <w:right w:val="dashSmallGap" w:sz="4" w:space="0" w:color="ff6600"/>
            </w:tcBorders>
          </w:tcPr>
          <w:p>
            <w:pPr>
              <w:pStyle w:val="style179"/>
              <w:numPr>
                <w:ilvl w:val="0"/>
                <w:numId w:val="7"/>
              </w:numPr>
              <w:spacing w:afterLines="50"/>
              <w:rPr>
                <w:rFonts w:ascii="微软雅黑" w:hAnsi="微软雅黑"/>
                <w:b/>
                <w:color w:val="ff6600"/>
                <w:sz w:val="30"/>
                <w:szCs w:val="30"/>
              </w:rPr>
            </w:pPr>
            <w:r>
              <w:rPr>
                <w:rFonts w:ascii="微软雅黑" w:hAnsi="微软雅黑" w:hint="eastAsia"/>
                <w:b/>
                <w:color w:val="ff6600"/>
                <w:sz w:val="30"/>
                <w:szCs w:val="30"/>
              </w:rPr>
              <w:t>国际视野</w:t>
            </w:r>
          </w:p>
          <w:p>
            <w:pPr>
              <w:pStyle w:val="style179"/>
              <w:numPr>
                <w:ilvl w:val="0"/>
                <w:numId w:val="0"/>
              </w:numPr>
              <w:spacing w:afterLines="50"/>
              <w:ind w:left="420"/>
              <w:rPr>
                <w:rFonts w:ascii="微软雅黑" w:hAnsi="微软雅黑"/>
                <w:b/>
                <w:color w:val="ff6600"/>
                <w:sz w:val="30"/>
                <w:szCs w:val="30"/>
              </w:rPr>
            </w:pPr>
          </w:p>
          <w:p>
            <w:pPr>
              <w:pStyle w:val="style0"/>
              <w:spacing w:afterLines="50"/>
              <w:ind w:firstLine="0" w:firstLineChars="0"/>
              <w:jc w:val="center"/>
              <w:rPr>
                <w:rFonts w:ascii="微软雅黑" w:hAnsi="微软雅黑"/>
                <w:sz w:val="20"/>
                <w:szCs w:val="21"/>
              </w:rPr>
            </w:pPr>
            <w:r>
              <w:rPr>
                <w:noProof/>
                <w:sz w:val="20"/>
                <w:szCs w:val="20"/>
              </w:rPr>
              <w:drawing>
                <wp:inline distL="0" distT="0" distB="0" distR="0">
                  <wp:extent cx="2059940" cy="2051685"/>
                  <wp:effectExtent l="19050" t="0" r="0" b="0"/>
                  <wp:docPr id="105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18" cstate="print"/>
                          <a:srcRect l="0" t="0" r="0" b="0"/>
                          <a:stretch/>
                        </pic:blipFill>
                        <pic:spPr>
                          <a:xfrm rot="0">
                            <a:off x="0" y="0"/>
                            <a:ext cx="2059940" cy="2051685"/>
                          </a:xfrm>
                          <a:prstGeom prst="rect"/>
                          <a:ln>
                            <a:noFill/>
                          </a:ln>
                        </pic:spPr>
                      </pic:pic>
                    </a:graphicData>
                  </a:graphic>
                </wp:inline>
              </w:drawing>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高端校友</w:t>
            </w:r>
          </w:p>
          <w:p>
            <w:pPr>
              <w:pStyle w:val="style179"/>
              <w:numPr>
                <w:ilvl w:val="0"/>
                <w:numId w:val="0"/>
              </w:numPr>
              <w:spacing w:afterLines="50"/>
              <w:ind w:left="284"/>
              <w:rPr>
                <w:rFonts w:ascii="微软雅黑" w:hAnsi="微软雅黑"/>
              </w:rPr>
            </w:pPr>
            <w:r>
              <w:rPr>
                <w:rFonts w:ascii="微软雅黑" w:hAnsi="微软雅黑"/>
              </w:rPr>
              <w:t>全球60多个国家和地区的商业精英组成校友网络，主要由中高级职业经理人、企业家、机构董事组成。</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卓越师资</w:t>
            </w:r>
          </w:p>
          <w:p>
            <w:pPr>
              <w:pStyle w:val="style179"/>
              <w:numPr>
                <w:ilvl w:val="0"/>
                <w:numId w:val="0"/>
              </w:numPr>
              <w:spacing w:afterLines="50"/>
              <w:ind w:left="284"/>
              <w:rPr>
                <w:rFonts w:ascii="微软雅黑" w:hAnsi="微软雅黑"/>
              </w:rPr>
            </w:pPr>
            <w:r>
              <w:rPr>
                <w:rFonts w:ascii="微软雅黑" w:hAnsi="微软雅黑"/>
              </w:rPr>
              <w:t>既是拥有深厚管理知识的学术大师，又是具有丰富一线管理和咨询经验的中、欧管理大咖。</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前沿教学模式</w:t>
            </w:r>
          </w:p>
          <w:p>
            <w:pPr>
              <w:pStyle w:val="style179"/>
              <w:numPr>
                <w:ilvl w:val="0"/>
                <w:numId w:val="0"/>
              </w:numPr>
              <w:spacing w:afterLines="50"/>
              <w:ind w:left="284"/>
              <w:rPr>
                <w:rFonts w:ascii="微软雅黑" w:hAnsi="微软雅黑"/>
              </w:rPr>
            </w:pPr>
            <w:r>
              <w:rPr>
                <w:rFonts w:ascii="微软雅黑" w:hAnsi="微软雅黑" w:hint="eastAsia"/>
              </w:rPr>
              <w:t>全球领先的工商管理教育行动学习专家</w:t>
            </w:r>
            <w:r>
              <w:rPr>
                <w:rFonts w:ascii="微软雅黑" w:hAnsi="微软雅黑"/>
              </w:rPr>
              <w:t>，潜心</w:t>
            </w:r>
            <w:r>
              <w:rPr>
                <w:rFonts w:ascii="微软雅黑" w:hAnsi="微软雅黑" w:hint="eastAsia"/>
              </w:rPr>
              <w:t>打磨行动</w:t>
            </w:r>
            <w:r>
              <w:rPr>
                <w:rFonts w:ascii="微软雅黑" w:hAnsi="微软雅黑"/>
              </w:rPr>
              <w:t>学习</w:t>
            </w:r>
            <w:r>
              <w:rPr>
                <w:rFonts w:ascii="微软雅黑" w:hAnsi="微软雅黑" w:hint="eastAsia"/>
              </w:rPr>
              <w:t>特色</w:t>
            </w:r>
            <w:r>
              <w:rPr>
                <w:rFonts w:ascii="微软雅黑" w:hAnsi="微软雅黑"/>
              </w:rPr>
              <w:t>体系，带来管理能力和企业绩效实际提升的学习效果。</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丰富教学内容</w:t>
            </w:r>
          </w:p>
          <w:p>
            <w:pPr>
              <w:pStyle w:val="style179"/>
              <w:numPr>
                <w:ilvl w:val="0"/>
                <w:numId w:val="0"/>
              </w:numPr>
              <w:spacing w:afterLines="50"/>
              <w:ind w:left="284"/>
              <w:rPr>
                <w:rFonts w:ascii="微软雅黑" w:hAnsi="微软雅黑"/>
                <w:sz w:val="20"/>
              </w:rPr>
            </w:pPr>
            <w:r>
              <w:rPr>
                <w:rFonts w:ascii="微软雅黑" w:hAnsi="微软雅黑"/>
              </w:rPr>
              <w:t>课堂上结合世界重点行业及企业案例的管理</w:t>
            </w:r>
            <w:r>
              <w:rPr>
                <w:rFonts w:ascii="微软雅黑" w:hAnsi="微软雅黑" w:hint="eastAsia"/>
              </w:rPr>
              <w:t>理论</w:t>
            </w:r>
            <w:r>
              <w:rPr>
                <w:rFonts w:ascii="微软雅黑" w:hAnsi="微软雅黑"/>
              </w:rPr>
              <w:t>剖析，行动学习实验室中全球领先管理工具的实战演练，国际标杆企业考察中核心竞争力的参悟。</w:t>
            </w:r>
          </w:p>
          <w:p>
            <w:pPr>
              <w:pStyle w:val="style0"/>
              <w:spacing w:afterLines="50"/>
              <w:ind w:firstLine="0" w:firstLineChars="0"/>
              <w:rPr>
                <w:rFonts w:ascii="微软雅黑" w:hAnsi="微软雅黑"/>
                <w:sz w:val="20"/>
                <w:szCs w:val="20"/>
              </w:rPr>
            </w:pPr>
          </w:p>
        </w:tc>
        <w:tc>
          <w:tcPr>
            <w:tcW w:w="4388" w:type="dxa"/>
            <w:tcBorders>
              <w:left w:val="dashSmallGap" w:sz="4" w:space="0" w:color="ff6600"/>
            </w:tcBorders>
          </w:tcPr>
          <w:p>
            <w:pPr>
              <w:pStyle w:val="style179"/>
              <w:numPr>
                <w:ilvl w:val="0"/>
                <w:numId w:val="7"/>
              </w:numPr>
              <w:spacing w:afterLines="50"/>
              <w:rPr>
                <w:rFonts w:ascii="微软雅黑" w:hAnsi="微软雅黑"/>
                <w:b/>
                <w:color w:val="ff6600"/>
                <w:sz w:val="30"/>
                <w:szCs w:val="30"/>
              </w:rPr>
            </w:pPr>
            <w:r>
              <w:rPr>
                <w:rFonts w:ascii="微软雅黑" w:hAnsi="微软雅黑" w:hint="eastAsia"/>
                <w:b/>
                <w:color w:val="ff6600"/>
                <w:sz w:val="30"/>
                <w:szCs w:val="30"/>
              </w:rPr>
              <w:t>知行合一</w:t>
            </w:r>
          </w:p>
          <w:p>
            <w:pPr>
              <w:pStyle w:val="style179"/>
              <w:numPr>
                <w:ilvl w:val="0"/>
                <w:numId w:val="0"/>
              </w:numPr>
              <w:spacing w:afterLines="50"/>
              <w:ind w:left="284"/>
              <w:rPr>
                <w:rFonts w:ascii="微软雅黑" w:hAnsi="微软雅黑"/>
              </w:rPr>
            </w:pPr>
            <w:r>
              <w:rPr>
                <w:rFonts w:ascii="微软雅黑" w:hAnsi="微软雅黑"/>
              </w:rPr>
              <w:t>匠心打磨学习内容和方式，关注学习者管理能力的提高，追求为企业带来现实绩效的提升。</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行动学习体系</w:t>
            </w:r>
          </w:p>
          <w:p>
            <w:pPr>
              <w:pStyle w:val="style0"/>
              <w:spacing w:afterLines="50"/>
              <w:ind w:left="283" w:leftChars="135" w:firstLine="0" w:firstLineChars="0"/>
              <w:rPr>
                <w:rFonts w:ascii="微软雅黑" w:hAnsi="微软雅黑"/>
                <w:sz w:val="20"/>
                <w:szCs w:val="21"/>
              </w:rPr>
            </w:pPr>
            <w:r>
              <w:rPr>
                <w:rFonts w:ascii="微软雅黑" w:hAnsi="微软雅黑" w:hint="eastAsia"/>
                <w:sz w:val="20"/>
                <w:szCs w:val="21"/>
              </w:rPr>
              <w:t>帮助学生从自身企业诊断入手，应用管理理论与工具，解决企业实际问题，完成学习任务。</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标杆企业参访</w:t>
            </w:r>
          </w:p>
          <w:p>
            <w:pPr>
              <w:pStyle w:val="style179"/>
              <w:numPr>
                <w:ilvl w:val="0"/>
                <w:numId w:val="0"/>
              </w:numPr>
              <w:spacing w:afterLines="50"/>
              <w:ind w:left="284"/>
              <w:rPr>
                <w:rFonts w:ascii="微软雅黑" w:hAnsi="微软雅黑"/>
                <w:sz w:val="20"/>
              </w:rPr>
            </w:pPr>
            <w:r>
              <w:rPr>
                <w:rFonts w:ascii="微软雅黑" w:hAnsi="微软雅黑" w:hint="eastAsia"/>
                <w:sz w:val="20"/>
              </w:rPr>
              <w:t>考察行业领军企业，</w:t>
            </w:r>
            <w:r>
              <w:rPr>
                <w:rFonts w:ascii="微软雅黑" w:hAnsi="微软雅黑"/>
                <w:sz w:val="20"/>
              </w:rPr>
              <w:t>与</w:t>
            </w:r>
            <w:r>
              <w:rPr>
                <w:rFonts w:ascii="微软雅黑" w:hAnsi="微软雅黑" w:hint="eastAsia"/>
                <w:sz w:val="20"/>
              </w:rPr>
              <w:t>董事会主席、联合创始人、首席执行官等</w:t>
            </w:r>
            <w:r>
              <w:rPr>
                <w:rFonts w:ascii="微软雅黑" w:hAnsi="微软雅黑"/>
                <w:sz w:val="20"/>
              </w:rPr>
              <w:t>顶级管理者</w:t>
            </w:r>
            <w:r>
              <w:rPr>
                <w:rFonts w:ascii="微软雅黑" w:hAnsi="微软雅黑" w:hint="eastAsia"/>
                <w:sz w:val="20"/>
              </w:rPr>
              <w:t>直面</w:t>
            </w:r>
            <w:r>
              <w:rPr>
                <w:rFonts w:ascii="微软雅黑" w:hAnsi="微软雅黑"/>
                <w:sz w:val="20"/>
              </w:rPr>
              <w:t>切磋</w:t>
            </w:r>
            <w:r>
              <w:rPr>
                <w:rFonts w:ascii="微软雅黑" w:hAnsi="微软雅黑" w:hint="eastAsia"/>
                <w:sz w:val="20"/>
              </w:rPr>
              <w:t>，对标学习。</w:t>
            </w:r>
            <w:r>
              <w:rPr>
                <w:rFonts w:ascii="微软雅黑" w:hAnsi="微软雅黑"/>
                <w:sz w:val="20"/>
              </w:rPr>
              <w:t>已安排参访阿里巴巴、京东、</w:t>
            </w:r>
            <w:r>
              <w:rPr>
                <w:rFonts w:ascii="微软雅黑" w:hAnsi="微软雅黑" w:hint="eastAsia"/>
                <w:sz w:val="20"/>
              </w:rPr>
              <w:t>ofo</w:t>
            </w:r>
            <w:r>
              <w:rPr>
                <w:rFonts w:ascii="微软雅黑" w:hAnsi="微软雅黑"/>
                <w:sz w:val="20"/>
              </w:rPr>
              <w:t>、</w:t>
            </w:r>
            <w:r>
              <w:rPr>
                <w:rFonts w:ascii="微软雅黑" w:hAnsi="微软雅黑" w:hint="eastAsia"/>
                <w:sz w:val="20"/>
              </w:rPr>
              <w:t>泰康、</w:t>
            </w:r>
            <w:r>
              <w:rPr>
                <w:rFonts w:ascii="微软雅黑" w:hAnsi="微软雅黑"/>
                <w:sz w:val="20"/>
              </w:rPr>
              <w:t>荷兰国际集团（ING）、荷兰合作银行（</w:t>
            </w:r>
            <w:r>
              <w:rPr>
                <w:rFonts w:ascii="微软雅黑" w:hAnsi="微软雅黑"/>
                <w:sz w:val="20"/>
              </w:rPr>
              <w:t>Rabobank</w:t>
            </w:r>
            <w:r>
              <w:rPr>
                <w:rFonts w:ascii="微软雅黑" w:hAnsi="微软雅黑"/>
                <w:sz w:val="20"/>
              </w:rPr>
              <w:t>）等中、荷境内大型标杆企业。</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高端行业论坛</w:t>
            </w:r>
          </w:p>
          <w:p>
            <w:pPr>
              <w:pStyle w:val="style0"/>
              <w:spacing w:afterLines="50"/>
              <w:ind w:left="283" w:leftChars="135" w:firstLine="0" w:firstLineChars="0"/>
              <w:rPr>
                <w:rFonts w:ascii="微软雅黑" w:hAnsi="微软雅黑"/>
                <w:sz w:val="20"/>
                <w:szCs w:val="21"/>
              </w:rPr>
            </w:pPr>
            <w:r>
              <w:rPr>
                <w:rFonts w:ascii="微软雅黑" w:hAnsi="微软雅黑"/>
                <w:sz w:val="20"/>
                <w:szCs w:val="21"/>
              </w:rPr>
              <w:t>专题</w:t>
            </w:r>
            <w:r>
              <w:rPr>
                <w:rFonts w:ascii="微软雅黑" w:hAnsi="微软雅黑" w:hint="eastAsia"/>
                <w:sz w:val="20"/>
                <w:szCs w:val="21"/>
              </w:rPr>
              <w:t>商业讲座</w:t>
            </w:r>
            <w:r>
              <w:rPr>
                <w:rFonts w:ascii="微软雅黑" w:hAnsi="微软雅黑"/>
                <w:sz w:val="20"/>
                <w:szCs w:val="21"/>
              </w:rPr>
              <w:t>或沙龙活动，邀请行业专家、企业</w:t>
            </w:r>
            <w:r>
              <w:rPr>
                <w:rFonts w:ascii="微软雅黑" w:hAnsi="微软雅黑" w:hint="eastAsia"/>
                <w:sz w:val="20"/>
                <w:szCs w:val="21"/>
              </w:rPr>
              <w:t>高管</w:t>
            </w:r>
            <w:r>
              <w:rPr>
                <w:rFonts w:ascii="微软雅黑" w:hAnsi="微软雅黑"/>
                <w:sz w:val="20"/>
                <w:szCs w:val="21"/>
              </w:rPr>
              <w:t>或政府官员解读商业热点，指点行业方向，交换管理看法，启发管理智慧。</w:t>
            </w:r>
          </w:p>
          <w:p>
            <w:pPr>
              <w:pStyle w:val="style179"/>
              <w:numPr>
                <w:ilvl w:val="0"/>
                <w:numId w:val="6"/>
              </w:numPr>
              <w:spacing w:afterLines="50"/>
              <w:ind w:left="284" w:hanging="284"/>
              <w:rPr>
                <w:rFonts w:ascii="微软雅黑" w:hAnsi="微软雅黑"/>
                <w:b/>
                <w:color w:val="ff6600"/>
              </w:rPr>
            </w:pPr>
            <w:r>
              <w:rPr>
                <w:rFonts w:ascii="微软雅黑" w:hAnsi="微软雅黑" w:hint="eastAsia"/>
                <w:b/>
                <w:color w:val="ff6600"/>
              </w:rPr>
              <w:t>名校商学研讨</w:t>
            </w:r>
          </w:p>
          <w:p>
            <w:pPr>
              <w:pStyle w:val="style0"/>
              <w:spacing w:afterLines="50"/>
              <w:ind w:left="283" w:leftChars="135" w:firstLine="0" w:firstLineChars="0"/>
              <w:rPr>
                <w:rFonts w:ascii="微软雅黑" w:hAnsi="微软雅黑"/>
                <w:sz w:val="20"/>
                <w:szCs w:val="21"/>
              </w:rPr>
            </w:pPr>
            <w:r>
              <w:rPr>
                <w:rFonts w:ascii="微软雅黑" w:hAnsi="微软雅黑" w:hint="eastAsia"/>
                <w:noProof/>
                <w:sz w:val="20"/>
                <w:szCs w:val="21"/>
              </w:rPr>
              <w:drawing>
                <wp:anchor distT="0" distB="0" distL="0" distR="0" simplePos="false" relativeHeight="11" behindDoc="false" locked="false" layoutInCell="true" allowOverlap="true">
                  <wp:simplePos x="0" y="0"/>
                  <wp:positionH relativeFrom="column">
                    <wp:posOffset>-635</wp:posOffset>
                  </wp:positionH>
                  <wp:positionV relativeFrom="paragraph">
                    <wp:posOffset>842010</wp:posOffset>
                  </wp:positionV>
                  <wp:extent cx="2670810" cy="2126615"/>
                  <wp:effectExtent l="19050" t="0" r="0" b="0"/>
                  <wp:wrapNone/>
                  <wp:docPr id="1058"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5"/>
                          <pic:cNvPicPr/>
                        </pic:nvPicPr>
                        <pic:blipFill>
                          <a:blip r:embed="rId19" cstate="print"/>
                          <a:srcRect l="0" t="0" r="0" b="0"/>
                          <a:stretch/>
                        </pic:blipFill>
                        <pic:spPr>
                          <a:xfrm rot="0">
                            <a:off x="0" y="0"/>
                            <a:ext cx="2670810" cy="2126615"/>
                          </a:xfrm>
                          <a:prstGeom prst="rect"/>
                        </pic:spPr>
                      </pic:pic>
                    </a:graphicData>
                  </a:graphic>
                </wp:anchor>
              </w:drawing>
            </w:r>
            <w:r>
              <w:rPr>
                <w:rFonts w:ascii="微软雅黑" w:hAnsi="微软雅黑" w:hint="eastAsia"/>
                <w:sz w:val="20"/>
                <w:szCs w:val="21"/>
              </w:rPr>
              <w:t>与中外著名学府就热门商业话题联合举办商学研讨活动。曾与荷兰奈耶诺德商业大学、北京航空航天大学等中荷名校组织此类活动。</w:t>
            </w:r>
          </w:p>
          <w:p>
            <w:pPr>
              <w:pStyle w:val="style0"/>
              <w:spacing w:afterLines="50"/>
              <w:ind w:left="1" w:hanging="1" w:firstLineChars="0"/>
              <w:rPr>
                <w:rFonts w:ascii="微软雅黑" w:hAnsi="微软雅黑"/>
                <w:sz w:val="20"/>
                <w:szCs w:val="21"/>
              </w:rPr>
            </w:pPr>
          </w:p>
        </w:tc>
      </w:tr>
    </w:tbl>
    <w:p>
      <w:pPr>
        <w:pStyle w:val="style2"/>
        <w:numPr>
          <w:ilvl w:val="0"/>
          <w:numId w:val="0"/>
        </w:numPr>
        <w:spacing w:before="360"/>
        <w:ind w:left="420"/>
        <w:rPr/>
      </w:pPr>
      <w:r>
        <w:rPr>
          <w:noProof/>
        </w:rPr>
        <w:drawing>
          <wp:anchor distT="0" distB="0" distL="0" distR="0" simplePos="false" relativeHeight="2" behindDoc="true" locked="false" layoutInCell="true" allowOverlap="true">
            <wp:simplePos x="0" y="0"/>
            <wp:positionH relativeFrom="column">
              <wp:posOffset>-946150</wp:posOffset>
            </wp:positionH>
            <wp:positionV relativeFrom="paragraph">
              <wp:posOffset>-871219</wp:posOffset>
            </wp:positionV>
            <wp:extent cx="7574280" cy="10728325"/>
            <wp:effectExtent l="19050" t="0" r="7772" b="0"/>
            <wp:wrapNone/>
            <wp:docPr id="1059"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6"/>
                    <pic:cNvPicPr/>
                  </pic:nvPicPr>
                  <pic:blipFill>
                    <a:blip r:embed="rId20" cstate="print">
                      <a:lum bright="20000" contrast="30001"/>
                    </a:blip>
                    <a:srcRect l="0" t="0" r="0" b="0"/>
                    <a:stretch/>
                  </pic:blipFill>
                  <pic:spPr>
                    <a:xfrm rot="0">
                      <a:off x="0" y="0"/>
                      <a:ext cx="7574280" cy="10728325"/>
                    </a:xfrm>
                    <a:prstGeom prst="rect"/>
                    <a:solidFill>
                      <a:srgbClr val="ededed"/>
                    </a:solidFill>
                    <a:ln>
                      <a:noFill/>
                    </a:ln>
                  </pic:spPr>
                </pic:pic>
              </a:graphicData>
            </a:graphic>
          </wp:anchor>
        </w:drawing>
      </w:r>
    </w:p>
    <w:p>
      <w:pPr>
        <w:pStyle w:val="style2"/>
        <w:spacing w:before="360"/>
        <w:rPr/>
      </w:pPr>
      <w:r>
        <w:rPr>
          <w:rFonts w:ascii="微软雅黑" w:hAnsi="微软雅黑"/>
          <w:sz w:val="20"/>
          <w:szCs w:val="20"/>
        </w:rPr>
        <w:pict>
          <v:rect id="1060" stroked="t" style="position:absolute;margin-left:-118.35pt;margin-top:-9.9pt;width:496.7pt;height:206.25pt;z-index:-2147483606;mso-position-horizontal-relative:text;mso-position-vertical-relative:text;mso-width-relative:page;mso-height-relative:page;mso-wrap-distance-left:0.0pt;mso-wrap-distance-right:0.0pt;visibility:visible;">
            <v:stroke color="#ff6600" weight="2.25pt"/>
            <v:fill/>
          </v:rect>
        </w:pict>
      </w:r>
      <w:r>
        <w:rPr>
          <w:rFonts w:hint="eastAsia"/>
        </w:rPr>
        <w:t>学习价值</w:t>
      </w:r>
    </w:p>
    <w:p>
      <w:pPr>
        <w:pStyle w:val="style0"/>
        <w:tabs>
          <w:tab w:val="left" w:leader="none" w:pos="6521"/>
        </w:tabs>
        <w:spacing w:afterLines="50"/>
        <w:ind w:right="2293" w:rightChars="1092" w:firstLine="400"/>
        <w:jc w:val="both"/>
        <w:rPr>
          <w:rFonts w:ascii="微软雅黑" w:hAnsi="微软雅黑"/>
          <w:sz w:val="20"/>
          <w:szCs w:val="20"/>
        </w:rPr>
      </w:pPr>
      <w:r>
        <w:rPr>
          <w:rFonts w:ascii="微软雅黑" w:hAnsi="微软雅黑"/>
          <w:sz w:val="20"/>
          <w:szCs w:val="20"/>
        </w:rPr>
        <w:t>作为“行动学习法”在工商管理教育领域应用的先驱</w:t>
      </w:r>
      <w:r>
        <w:rPr>
          <w:rFonts w:ascii="微软雅黑" w:hAnsi="微软雅黑" w:hint="eastAsia"/>
          <w:sz w:val="20"/>
          <w:szCs w:val="20"/>
        </w:rPr>
        <w:t>，BSN荷兰商学院经过几十年的匠心打磨，形成了颠覆传统、独具特色的学习体系。</w:t>
      </w:r>
    </w:p>
    <w:p>
      <w:pPr>
        <w:pStyle w:val="style0"/>
        <w:tabs>
          <w:tab w:val="left" w:leader="none" w:pos="6521"/>
        </w:tabs>
        <w:spacing w:afterLines="50"/>
        <w:ind w:right="2293" w:rightChars="1092" w:firstLine="400"/>
        <w:jc w:val="both"/>
        <w:rPr>
          <w:rFonts w:ascii="微软雅黑" w:hAnsi="微软雅黑"/>
          <w:sz w:val="20"/>
          <w:szCs w:val="20"/>
        </w:rPr>
      </w:pPr>
      <w:r>
        <w:rPr>
          <w:rFonts w:ascii="微软雅黑" w:hAnsi="微软雅黑" w:hint="eastAsia"/>
          <w:sz w:val="20"/>
          <w:szCs w:val="20"/>
        </w:rPr>
        <w:t>在工商管理系统学习中，学生的科学管理意识被不断强化。在“行动学习”过程中，以自身企业为研究对象，利用所学、所感、所悟，掌握从现象诊断、问题明确、建议制定及选择、到方案实施的一系列管理实际技能，在学习的同时，</w:t>
      </w:r>
      <w:r>
        <w:rPr>
          <w:rFonts w:ascii="微软雅黑" w:hAnsi="微软雅黑"/>
          <w:sz w:val="20"/>
          <w:szCs w:val="20"/>
        </w:rPr>
        <w:t>为企业带来</w:t>
      </w:r>
      <w:r>
        <w:rPr>
          <w:rFonts w:ascii="微软雅黑" w:hAnsi="微软雅黑" w:hint="eastAsia"/>
          <w:sz w:val="20"/>
          <w:szCs w:val="20"/>
        </w:rPr>
        <w:t>实际的</w:t>
      </w:r>
      <w:r>
        <w:rPr>
          <w:rFonts w:ascii="微软雅黑" w:hAnsi="微软雅黑"/>
          <w:sz w:val="20"/>
          <w:szCs w:val="20"/>
        </w:rPr>
        <w:t>绩效</w:t>
      </w:r>
      <w:r>
        <w:rPr>
          <w:rFonts w:ascii="微软雅黑" w:hAnsi="微软雅黑" w:hint="eastAsia"/>
          <w:sz w:val="20"/>
          <w:szCs w:val="20"/>
        </w:rPr>
        <w:t>提升。</w:t>
      </w:r>
    </w:p>
    <w:p>
      <w:pPr>
        <w:pStyle w:val="style0"/>
        <w:tabs>
          <w:tab w:val="left" w:leader="none" w:pos="6521"/>
        </w:tabs>
        <w:spacing w:afterLines="50"/>
        <w:ind w:right="2293" w:rightChars="1092" w:firstLine="400"/>
        <w:jc w:val="both"/>
        <w:rPr>
          <w:rFonts w:ascii="微软雅黑" w:hAnsi="微软雅黑"/>
          <w:sz w:val="20"/>
          <w:szCs w:val="20"/>
        </w:rPr>
        <w:sectPr>
          <w:headerReference w:type="even" r:id="rId21"/>
          <w:headerReference w:type="default" r:id="rId22"/>
          <w:footerReference w:type="even" r:id="rId23"/>
          <w:footerReference w:type="default" r:id="rId24"/>
          <w:headerReference w:type="first" r:id="rId25"/>
          <w:pgSz w:w="11906" w:h="16838" w:orient="portrait"/>
          <w:pgMar w:top="1361" w:right="1474" w:bottom="1361" w:left="1474" w:header="567" w:footer="454" w:gutter="0"/>
          <w:cols w:space="720"/>
          <w:docGrid w:linePitch="360"/>
        </w:sectPr>
      </w:pPr>
      <w:r>
        <w:rPr>
          <w:rFonts w:ascii="微软雅黑" w:hAnsi="微软雅黑" w:hint="eastAsia"/>
          <w:sz w:val="20"/>
          <w:szCs w:val="20"/>
        </w:rPr>
        <w:t>即使完满毕业，仍可在母校的持续关注中，在面对充满不确定性的商业环境中，游刃有余，应对严峻的现实挑战。</w:t>
      </w:r>
    </w:p>
    <w:p>
      <w:pPr>
        <w:pStyle w:val="style1"/>
        <w:numPr>
          <w:ilvl w:val="0"/>
          <w:numId w:val="0"/>
        </w:numPr>
        <w:rPr/>
      </w:pPr>
    </w:p>
    <w:p>
      <w:pPr>
        <w:pStyle w:val="style0"/>
        <w:ind w:firstLine="420"/>
        <w:rPr>
          <w:rFonts w:ascii="微软雅黑" w:hAnsi="微软雅黑"/>
          <w:color w:val="ff6600"/>
          <w:kern w:val="44"/>
          <w:sz w:val="52"/>
          <w:szCs w:val="21"/>
        </w:rPr>
      </w:pPr>
      <w:r>
        <w:br w:type="page"/>
      </w:r>
    </w:p>
    <w:p>
      <w:pPr>
        <w:pStyle w:val="style1"/>
        <w:rPr/>
      </w:pPr>
      <w:r>
        <w:rPr>
          <w:b w:val="false"/>
          <w:sz w:val="30"/>
          <w:szCs w:val="30"/>
        </w:rPr>
        <w:pict>
          <v:rect id="1061" stroked="f" style="position:absolute;margin-left:-42.6pt;margin-top:-27.2pt;width:527.25pt;height:773.85pt;z-index:-2147483598;mso-position-horizontal-relative:text;mso-position-vertical-relative:text;mso-width-relative:page;mso-height-relative:page;mso-wrap-distance-left:0.0pt;mso-wrap-distance-right:0.0pt;visibility:visible;">
            <v:stroke on="f" weight="2.25pt"/>
            <v:fill/>
          </v:rect>
        </w:pict>
      </w:r>
      <w:r>
        <w:rPr>
          <w:rFonts w:ascii="Tahoma" w:hAnsi="Tahoma"/>
        </w:rPr>
        <w:pict>
          <v:rect id="1062" fillcolor="#ff9933" stroked="f" style="position:absolute;margin-left:-77.55pt;margin-top:-69.6pt;width:601.1pt;height:854.75pt;z-index:-2147483605;mso-position-horizontal-relative:text;mso-position-vertical-relative:text;mso-width-relative:page;mso-height-relative:page;mso-wrap-distance-left:0.0pt;mso-wrap-distance-right:0.0pt;visibility:visible;">
            <v:stroke on="f" weight="1.0pt"/>
            <v:fill/>
            <v:shadow on="t" color="#4c2404" offset="1.0pt," offset2="-2.0pt,-2.0pt"/>
          </v:rect>
        </w:pict>
      </w:r>
      <w:r>
        <w:rPr>
          <w:rFonts w:hint="eastAsia"/>
        </w:rPr>
        <w:t xml:space="preserve">  教授团队</w:t>
      </w:r>
    </w:p>
    <w:p>
      <w:pPr>
        <w:pStyle w:val="style0"/>
        <w:spacing w:afterLines="50"/>
        <w:ind w:firstLine="420"/>
        <w:rPr>
          <w:rFonts w:ascii="微软雅黑" w:hAnsi="微软雅黑"/>
          <w:szCs w:val="21"/>
        </w:rPr>
      </w:pPr>
      <w:r>
        <w:rPr>
          <w:rFonts w:ascii="微软雅黑" w:hAnsi="微软雅黑"/>
          <w:szCs w:val="21"/>
        </w:rPr>
        <w:t>BSN荷兰商学院按照其全球统一的欧洲一流商学院标准，经过严格的学术水平和管理经验评估，遴选教授，组成能胜任BSN“行动学习”教学理念的师资队伍。</w:t>
      </w:r>
    </w:p>
    <w:p>
      <w:pPr>
        <w:pStyle w:val="style0"/>
        <w:spacing w:afterLines="50"/>
        <w:ind w:firstLine="420"/>
        <w:rPr>
          <w:rFonts w:ascii="微软雅黑" w:hAnsi="微软雅黑"/>
          <w:szCs w:val="21"/>
        </w:rPr>
      </w:pPr>
      <w:r>
        <w:rPr>
          <w:rFonts w:ascii="微软雅黑" w:hAnsi="微软雅黑"/>
          <w:szCs w:val="21"/>
        </w:rPr>
        <w:t>亚洲学区师资分为外教和中教两部分，绝大部分教授拥有管理学领域博士学位。</w:t>
      </w:r>
    </w:p>
    <w:p>
      <w:pPr>
        <w:pStyle w:val="style0"/>
        <w:spacing w:afterLines="50"/>
        <w:ind w:firstLine="420"/>
        <w:rPr>
          <w:rFonts w:ascii="微软雅黑" w:hAnsi="微软雅黑"/>
          <w:szCs w:val="21"/>
        </w:rPr>
      </w:pPr>
      <w:r>
        <w:rPr>
          <w:rFonts w:ascii="微软雅黑" w:hAnsi="微软雅黑"/>
          <w:szCs w:val="21"/>
        </w:rPr>
        <w:t>外国教授全部由荷兰总校指派，大多是某领域的欧洲知名专家，大部分拥有自己的管理咨询公司。与中国教授相比，具有更为多元的管理视角、独到的企业管理理念，可以帮助中国学生培养国际化的管理格局，助力中国学生开拓全球化业务。中国教授大多来自国内著名大学的经管学院，除具有深厚的管理理论基础外，还拥有丰富的中国大中型标杆企业的管理咨询经验。</w:t>
      </w:r>
    </w:p>
    <w:p>
      <w:pPr>
        <w:pStyle w:val="style2"/>
        <w:spacing w:before="360"/>
        <w:rPr/>
      </w:pPr>
      <w:r>
        <w:rPr>
          <w:rFonts w:hint="eastAsia"/>
        </w:rPr>
        <w:t>亚洲学区部分师资</w:t>
      </w:r>
    </w:p>
    <w:tbl>
      <w:tblPr>
        <w:tblStyle w:val="style154"/>
        <w:tblW w:w="8613" w:type="dxa"/>
        <w:jc w:val="center"/>
        <w:tblLayout w:type="fixed"/>
        <w:tblLook w:val="04A0" w:firstRow="1" w:lastRow="0" w:firstColumn="1" w:lastColumn="0" w:noHBand="0" w:noVBand="1"/>
      </w:tblPr>
      <w:tblGrid>
        <w:gridCol w:w="1273"/>
        <w:gridCol w:w="3033"/>
        <w:gridCol w:w="1274"/>
        <w:gridCol w:w="3033"/>
      </w:tblGrid>
      <w:tr>
        <w:trPr>
          <w:jc w:val="center"/>
        </w:trPr>
        <w:tc>
          <w:tcPr>
            <w:tcW w:w="1273" w:type="dxa"/>
            <w:tcBorders>
              <w:top w:val="single" w:sz="12" w:space="0" w:color="ffffff"/>
              <w:left w:val="nil"/>
              <w:bottom w:val="single" w:sz="12" w:space="0" w:color="ffffff"/>
              <w:right w:val="single" w:sz="4" w:space="0" w:color="ff0000"/>
            </w:tcBorders>
          </w:tcPr>
          <w:p>
            <w:pPr>
              <w:pStyle w:val="style0"/>
              <w:ind w:left="-136" w:leftChars="-65" w:firstLine="0" w:firstLineChars="0"/>
              <w:rPr>
                <w:sz w:val="18"/>
                <w:szCs w:val="18"/>
              </w:rPr>
            </w:pPr>
            <w:r>
              <w:rPr>
                <w:noProof/>
                <w:sz w:val="18"/>
                <w:szCs w:val="18"/>
              </w:rPr>
              <w:drawing>
                <wp:inline distL="0" distT="0" distB="0" distR="0">
                  <wp:extent cx="792480" cy="940434"/>
                  <wp:effectExtent l="19050" t="0" r="7162" b="0"/>
                  <wp:docPr id="1063" name="图片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52"/>
                          <pic:cNvPicPr/>
                        </pic:nvPicPr>
                        <pic:blipFill>
                          <a:blip r:embed="rId26" cstate="print"/>
                          <a:srcRect l="0" t="0" r="0" b="0"/>
                          <a:stretch/>
                        </pic:blipFill>
                        <pic:spPr>
                          <a:xfrm rot="0">
                            <a:off x="0" y="0"/>
                            <a:ext cx="792480" cy="940434"/>
                          </a:xfrm>
                          <a:prstGeom prst="rect"/>
                          <a:ln>
                            <a:noFill/>
                          </a:ln>
                        </pic:spPr>
                      </pic:pic>
                    </a:graphicData>
                  </a:graphic>
                </wp:inline>
              </w:drawing>
            </w:r>
          </w:p>
        </w:tc>
        <w:tc>
          <w:tcPr>
            <w:tcW w:w="3033" w:type="dxa"/>
            <w:tcBorders>
              <w:top w:val="single" w:sz="4" w:space="0" w:color="ff0000"/>
              <w:left w:val="single" w:sz="4" w:space="0" w:color="ff0000"/>
              <w:bottom w:val="single" w:sz="4" w:space="0" w:color="ffffff"/>
              <w:right w:val="single" w:sz="12" w:space="0" w:color="ffffff"/>
            </w:tcBorders>
          </w:tcPr>
          <w:p>
            <w:pPr>
              <w:pStyle w:val="style0"/>
              <w:ind w:firstLine="0" w:firstLineChars="0"/>
              <w:rPr>
                <w:b/>
                <w:sz w:val="18"/>
                <w:szCs w:val="18"/>
              </w:rPr>
            </w:pPr>
            <w:r>
              <w:rPr>
                <w:b/>
                <w:sz w:val="18"/>
                <w:szCs w:val="18"/>
              </w:rPr>
              <w:t xml:space="preserve">Paul </w:t>
            </w:r>
            <w:r>
              <w:rPr>
                <w:b/>
                <w:sz w:val="18"/>
                <w:szCs w:val="18"/>
              </w:rPr>
              <w:t>Turken</w:t>
            </w:r>
            <w:r>
              <w:rPr>
                <w:b/>
                <w:sz w:val="18"/>
                <w:szCs w:val="18"/>
              </w:rPr>
              <w:t>博士</w:t>
            </w:r>
          </w:p>
          <w:p>
            <w:pPr>
              <w:pStyle w:val="style0"/>
              <w:ind w:firstLine="0" w:firstLineChars="0"/>
              <w:rPr>
                <w:sz w:val="18"/>
                <w:szCs w:val="18"/>
              </w:rPr>
            </w:pPr>
            <w:r>
              <w:rPr>
                <w:sz w:val="18"/>
                <w:szCs w:val="18"/>
              </w:rPr>
              <w:t>BSN</w:t>
            </w:r>
            <w:r>
              <w:rPr>
                <w:rFonts w:hint="eastAsia"/>
                <w:sz w:val="18"/>
                <w:szCs w:val="18"/>
              </w:rPr>
              <w:t>营销管理教授、高级顾问</w:t>
            </w:r>
            <w:r>
              <w:rPr>
                <w:sz w:val="18"/>
                <w:szCs w:val="18"/>
              </w:rPr>
              <w:br/>
            </w:r>
            <w:r>
              <w:rPr>
                <w:rFonts w:hint="eastAsia"/>
                <w:sz w:val="18"/>
                <w:szCs w:val="18"/>
              </w:rPr>
              <w:t>荷兰著名营销专家</w:t>
            </w:r>
          </w:p>
          <w:p>
            <w:pPr>
              <w:pStyle w:val="style0"/>
              <w:ind w:firstLine="0" w:firstLineChars="0"/>
              <w:rPr>
                <w:sz w:val="18"/>
                <w:szCs w:val="18"/>
              </w:rPr>
            </w:pPr>
            <w:r>
              <w:rPr>
                <w:rFonts w:hint="eastAsia"/>
                <w:sz w:val="18"/>
                <w:szCs w:val="18"/>
              </w:rPr>
              <w:t>荷兰著名营销电视节目嘉宾。发表过多部管理学专著，为众多国际跨国公司进行咨询工作，目前在</w:t>
            </w:r>
            <w:r>
              <w:rPr>
                <w:rFonts w:hint="eastAsia"/>
                <w:sz w:val="18"/>
                <w:szCs w:val="18"/>
              </w:rPr>
              <w:t>4</w:t>
            </w:r>
            <w:r>
              <w:rPr>
                <w:rFonts w:hint="eastAsia"/>
                <w:sz w:val="18"/>
                <w:szCs w:val="18"/>
              </w:rPr>
              <w:t>家公司的监事会任职。曾长期在当时位列世界第五的营销咨询公司</w:t>
            </w:r>
            <w:r>
              <w:rPr>
                <w:rFonts w:hint="eastAsia"/>
                <w:sz w:val="18"/>
                <w:szCs w:val="18"/>
              </w:rPr>
              <w:t>BBDO</w:t>
            </w:r>
            <w:r>
              <w:rPr>
                <w:rFonts w:hint="eastAsia"/>
                <w:sz w:val="18"/>
                <w:szCs w:val="18"/>
              </w:rPr>
              <w:t>中担任高管。</w:t>
            </w:r>
          </w:p>
        </w:tc>
        <w:tc>
          <w:tcPr>
            <w:tcW w:w="1274" w:type="dxa"/>
            <w:tcBorders>
              <w:top w:val="single" w:sz="12" w:space="0" w:color="ffffff"/>
              <w:left w:val="single" w:sz="12" w:space="0" w:color="ffffff"/>
              <w:bottom w:val="single" w:sz="12" w:space="0" w:color="ffffff"/>
              <w:right w:val="single" w:sz="4" w:space="0" w:color="ff0000"/>
            </w:tcBorders>
          </w:tcPr>
          <w:p>
            <w:pPr>
              <w:pStyle w:val="style0"/>
              <w:ind w:firstLine="0" w:firstLineChars="0"/>
              <w:rPr>
                <w:sz w:val="18"/>
                <w:szCs w:val="18"/>
              </w:rPr>
            </w:pPr>
            <w:r>
              <w:rPr>
                <w:noProof/>
                <w:sz w:val="18"/>
                <w:szCs w:val="18"/>
              </w:rPr>
              <w:drawing>
                <wp:inline distL="0" distT="0" distB="0" distR="0">
                  <wp:extent cx="704850" cy="899160"/>
                  <wp:effectExtent l="19050" t="0" r="0" b="0"/>
                  <wp:docPr id="106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27" cstate="print"/>
                          <a:srcRect l="2916" t="0" r="29055" b="15302"/>
                          <a:stretch/>
                        </pic:blipFill>
                        <pic:spPr>
                          <a:xfrm rot="0">
                            <a:off x="0" y="0"/>
                            <a:ext cx="704850" cy="899160"/>
                          </a:xfrm>
                          <a:prstGeom prst="rect"/>
                          <a:ln>
                            <a:noFill/>
                          </a:ln>
                        </pic:spPr>
                      </pic:pic>
                    </a:graphicData>
                  </a:graphic>
                </wp:inline>
              </w:drawing>
            </w:r>
          </w:p>
        </w:tc>
        <w:tc>
          <w:tcPr>
            <w:tcW w:w="3033" w:type="dxa"/>
            <w:tcBorders>
              <w:top w:val="single" w:sz="4" w:space="0" w:color="ff0000"/>
              <w:left w:val="single" w:sz="4" w:space="0" w:color="ff0000"/>
              <w:bottom w:val="single" w:sz="4" w:space="0" w:color="ffffff"/>
              <w:right w:val="nil"/>
            </w:tcBorders>
          </w:tcPr>
          <w:p>
            <w:pPr>
              <w:pStyle w:val="style0"/>
              <w:ind w:firstLine="0" w:firstLineChars="0"/>
              <w:rPr>
                <w:b/>
                <w:sz w:val="18"/>
                <w:szCs w:val="18"/>
              </w:rPr>
            </w:pPr>
            <w:r>
              <w:rPr>
                <w:rFonts w:ascii="Arial" w:cs="Arial" w:hAnsi="Arial"/>
                <w:b/>
                <w:bCs/>
                <w:sz w:val="20"/>
                <w:szCs w:val="20"/>
              </w:rPr>
              <w:t xml:space="preserve">Andy P. </w:t>
            </w:r>
            <w:r>
              <w:rPr>
                <w:rFonts w:ascii="Arial" w:cs="Arial" w:hAnsi="Arial"/>
                <w:b/>
                <w:bCs/>
                <w:sz w:val="20"/>
                <w:szCs w:val="20"/>
              </w:rPr>
              <w:t>Mosmans</w:t>
            </w:r>
            <w:r>
              <w:rPr>
                <w:rFonts w:ascii="Arial" w:cs="Arial" w:hAnsi="Arial"/>
                <w:b/>
                <w:bCs/>
                <w:sz w:val="20"/>
                <w:szCs w:val="20"/>
              </w:rPr>
              <w:t xml:space="preserve"> RM</w:t>
            </w:r>
            <w:r>
              <w:rPr>
                <w:rFonts w:ascii="Arial" w:cs="Arial" w:hAnsi="Arial" w:hint="eastAsia"/>
                <w:b/>
                <w:bCs/>
                <w:sz w:val="20"/>
                <w:szCs w:val="20"/>
              </w:rPr>
              <w:t>博士</w:t>
            </w:r>
          </w:p>
          <w:p>
            <w:pPr>
              <w:pStyle w:val="style0"/>
              <w:ind w:firstLine="0" w:firstLineChars="0"/>
              <w:rPr>
                <w:sz w:val="18"/>
                <w:szCs w:val="18"/>
              </w:rPr>
            </w:pPr>
            <w:r>
              <w:rPr>
                <w:sz w:val="18"/>
                <w:szCs w:val="18"/>
              </w:rPr>
              <w:t>BSN</w:t>
            </w:r>
            <w:r>
              <w:rPr>
                <w:rFonts w:hint="eastAsia"/>
                <w:sz w:val="18"/>
                <w:szCs w:val="18"/>
              </w:rPr>
              <w:t>战略品牌管理教授</w:t>
            </w:r>
            <w:r>
              <w:rPr>
                <w:sz w:val="18"/>
                <w:szCs w:val="18"/>
              </w:rPr>
              <w:br/>
            </w:r>
            <w:r>
              <w:rPr>
                <w:rFonts w:hint="eastAsia"/>
                <w:sz w:val="18"/>
                <w:szCs w:val="18"/>
              </w:rPr>
              <w:t>欧洲知名营销专家</w:t>
            </w:r>
          </w:p>
          <w:p>
            <w:pPr>
              <w:pStyle w:val="style0"/>
              <w:ind w:firstLine="0" w:firstLineChars="0"/>
              <w:rPr>
                <w:sz w:val="18"/>
                <w:szCs w:val="18"/>
              </w:rPr>
            </w:pPr>
            <w:r>
              <w:rPr>
                <w:rFonts w:hint="eastAsia"/>
                <w:sz w:val="18"/>
                <w:szCs w:val="18"/>
              </w:rPr>
              <w:t>全球增长最快的跨国广告公司</w:t>
            </w:r>
            <w:r>
              <w:rPr>
                <w:rFonts w:hint="eastAsia"/>
                <w:sz w:val="18"/>
                <w:szCs w:val="18"/>
              </w:rPr>
              <w:t>TBWA</w:t>
            </w:r>
            <w:r>
              <w:rPr>
                <w:rFonts w:hint="eastAsia"/>
                <w:sz w:val="18"/>
                <w:szCs w:val="18"/>
              </w:rPr>
              <w:t>的</w:t>
            </w:r>
            <w:r>
              <w:rPr>
                <w:rFonts w:hint="eastAsia"/>
                <w:sz w:val="18"/>
                <w:szCs w:val="18"/>
              </w:rPr>
              <w:t>ARA</w:t>
            </w:r>
            <w:r>
              <w:rPr>
                <w:rFonts w:hint="eastAsia"/>
                <w:sz w:val="18"/>
                <w:szCs w:val="18"/>
              </w:rPr>
              <w:t>机构合伙人。多产作家，常年在著名的国际营销与管理杂志上发表专业文章，出版过多部营销领域专业著作。</w:t>
            </w:r>
          </w:p>
        </w:tc>
      </w:tr>
      <w:tr>
        <w:tblPrEx/>
        <w:trPr>
          <w:trHeight w:val="938" w:hRule="atLeast"/>
          <w:jc w:val="center"/>
        </w:trPr>
        <w:tc>
          <w:tcPr>
            <w:tcW w:w="1273" w:type="dxa"/>
            <w:tcBorders>
              <w:top w:val="single" w:sz="12" w:space="0" w:color="ffffff"/>
              <w:left w:val="nil"/>
              <w:bottom w:val="nil"/>
              <w:right w:val="single" w:sz="4" w:space="0" w:color="ff0000"/>
            </w:tcBorders>
          </w:tcPr>
          <w:p>
            <w:pPr>
              <w:pStyle w:val="style0"/>
              <w:ind w:left="-136" w:leftChars="-65" w:firstLine="0" w:firstLineChars="0"/>
              <w:rPr>
                <w:sz w:val="18"/>
                <w:szCs w:val="18"/>
              </w:rPr>
            </w:pPr>
            <w:r>
              <w:rPr>
                <w:noProof/>
                <w:sz w:val="18"/>
                <w:szCs w:val="18"/>
              </w:rPr>
              <w:drawing>
                <wp:inline distL="0" distT="0" distB="0" distR="0">
                  <wp:extent cx="789940" cy="934085"/>
                  <wp:effectExtent l="19050" t="0" r="0" b="0"/>
                  <wp:docPr id="1065"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28" cstate="print"/>
                          <a:srcRect l="0" t="0" r="0" b="0"/>
                          <a:stretch/>
                        </pic:blipFill>
                        <pic:spPr>
                          <a:xfrm rot="0">
                            <a:off x="0" y="0"/>
                            <a:ext cx="789940" cy="934085"/>
                          </a:xfrm>
                          <a:prstGeom prst="rect"/>
                          <a:ln>
                            <a:noFill/>
                          </a:ln>
                        </pic:spPr>
                      </pic:pic>
                    </a:graphicData>
                  </a:graphic>
                </wp:inline>
              </w:drawing>
            </w:r>
          </w:p>
        </w:tc>
        <w:tc>
          <w:tcPr>
            <w:tcW w:w="3033" w:type="dxa"/>
            <w:tcBorders>
              <w:top w:val="single" w:sz="4" w:space="0" w:color="ff0000"/>
              <w:left w:val="single" w:sz="4" w:space="0" w:color="ff0000"/>
              <w:bottom w:val="nil"/>
              <w:right w:val="single" w:sz="12" w:space="0" w:color="ffffff"/>
            </w:tcBorders>
          </w:tcPr>
          <w:p>
            <w:pPr>
              <w:pStyle w:val="style0"/>
              <w:ind w:firstLine="0" w:firstLineChars="0"/>
              <w:rPr>
                <w:b/>
                <w:sz w:val="18"/>
                <w:szCs w:val="18"/>
              </w:rPr>
            </w:pPr>
            <w:r>
              <w:rPr>
                <w:b/>
                <w:sz w:val="18"/>
                <w:szCs w:val="18"/>
              </w:rPr>
              <w:t>Nobert</w:t>
            </w:r>
            <w:r>
              <w:rPr>
                <w:b/>
                <w:sz w:val="18"/>
                <w:szCs w:val="18"/>
              </w:rPr>
              <w:t xml:space="preserve"> </w:t>
            </w:r>
            <w:r>
              <w:rPr>
                <w:b/>
                <w:sz w:val="18"/>
                <w:szCs w:val="18"/>
              </w:rPr>
              <w:t>Greveling</w:t>
            </w:r>
            <w:r>
              <w:rPr>
                <w:rFonts w:hint="eastAsia"/>
                <w:b/>
                <w:sz w:val="18"/>
                <w:szCs w:val="18"/>
              </w:rPr>
              <w:t>博士</w:t>
            </w:r>
          </w:p>
          <w:p>
            <w:pPr>
              <w:pStyle w:val="style0"/>
              <w:ind w:firstLine="0" w:firstLineChars="0"/>
              <w:rPr>
                <w:sz w:val="18"/>
                <w:szCs w:val="18"/>
              </w:rPr>
            </w:pPr>
            <w:r>
              <w:rPr>
                <w:sz w:val="18"/>
                <w:szCs w:val="18"/>
              </w:rPr>
              <w:t>BSN</w:t>
            </w:r>
            <w:r>
              <w:rPr>
                <w:rFonts w:hint="eastAsia"/>
                <w:sz w:val="18"/>
                <w:szCs w:val="18"/>
              </w:rPr>
              <w:t>商业模式管理教授</w:t>
            </w:r>
            <w:r>
              <w:rPr>
                <w:sz w:val="18"/>
                <w:szCs w:val="18"/>
              </w:rPr>
              <w:br/>
            </w:r>
            <w:r>
              <w:rPr>
                <w:rFonts w:hint="eastAsia"/>
                <w:sz w:val="18"/>
                <w:szCs w:val="18"/>
              </w:rPr>
              <w:t>IBM</w:t>
            </w:r>
            <w:r>
              <w:rPr>
                <w:rFonts w:hint="eastAsia"/>
                <w:sz w:val="18"/>
                <w:szCs w:val="18"/>
              </w:rPr>
              <w:t>咨询集团股东</w:t>
            </w:r>
          </w:p>
          <w:p>
            <w:pPr>
              <w:pStyle w:val="style0"/>
              <w:ind w:firstLine="0" w:firstLineChars="0"/>
              <w:rPr>
                <w:sz w:val="18"/>
                <w:szCs w:val="18"/>
              </w:rPr>
            </w:pPr>
          </w:p>
        </w:tc>
        <w:tc>
          <w:tcPr>
            <w:tcW w:w="1274" w:type="dxa"/>
            <w:tcBorders>
              <w:top w:val="single" w:sz="12" w:space="0" w:color="ffffff"/>
              <w:left w:val="single" w:sz="12" w:space="0" w:color="ffffff"/>
              <w:bottom w:val="single" w:sz="12" w:space="0" w:color="ffffff"/>
              <w:right w:val="single" w:sz="4" w:space="0" w:color="ff0000"/>
            </w:tcBorders>
          </w:tcPr>
          <w:p>
            <w:pPr>
              <w:pStyle w:val="style0"/>
              <w:ind w:firstLine="0" w:firstLineChars="0"/>
              <w:rPr>
                <w:sz w:val="18"/>
                <w:szCs w:val="18"/>
              </w:rPr>
            </w:pPr>
            <w:r>
              <w:rPr>
                <w:noProof/>
                <w:sz w:val="18"/>
                <w:szCs w:val="18"/>
              </w:rPr>
              <w:drawing>
                <wp:anchor distT="0" distB="0" distL="0" distR="0" simplePos="false" relativeHeight="14" behindDoc="false" locked="false" layoutInCell="true" allowOverlap="true">
                  <wp:simplePos x="0" y="0"/>
                  <wp:positionH relativeFrom="column">
                    <wp:posOffset>11430</wp:posOffset>
                  </wp:positionH>
                  <wp:positionV relativeFrom="paragraph">
                    <wp:posOffset>-3175</wp:posOffset>
                  </wp:positionV>
                  <wp:extent cx="712470" cy="914400"/>
                  <wp:effectExtent l="19050" t="0" r="0" b="0"/>
                  <wp:wrapNone/>
                  <wp:docPr id="1066"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23"/>
                          <pic:cNvPicPr/>
                        </pic:nvPicPr>
                        <pic:blipFill>
                          <a:blip r:embed="rId29" cstate="print"/>
                          <a:srcRect l="8861" t="0" r="10127" b="30310"/>
                          <a:stretch/>
                        </pic:blipFill>
                        <pic:spPr>
                          <a:xfrm rot="0">
                            <a:off x="0" y="0"/>
                            <a:ext cx="712470" cy="914400"/>
                          </a:xfrm>
                          <a:prstGeom prst="rect"/>
                          <a:ln>
                            <a:noFill/>
                          </a:ln>
                        </pic:spPr>
                      </pic:pic>
                    </a:graphicData>
                  </a:graphic>
                </wp:anchor>
              </w:drawing>
            </w:r>
          </w:p>
        </w:tc>
        <w:tc>
          <w:tcPr>
            <w:tcW w:w="3033" w:type="dxa"/>
            <w:tcBorders>
              <w:top w:val="single" w:sz="4" w:space="0" w:color="ff0000"/>
              <w:left w:val="single" w:sz="4" w:space="0" w:color="ff0000"/>
              <w:bottom w:val="single" w:sz="4" w:space="0" w:color="ffffff"/>
              <w:right w:val="nil"/>
            </w:tcBorders>
          </w:tcPr>
          <w:p>
            <w:pPr>
              <w:pStyle w:val="style0"/>
              <w:ind w:firstLine="0" w:firstLineChars="0"/>
              <w:rPr>
                <w:b/>
                <w:sz w:val="18"/>
                <w:szCs w:val="18"/>
              </w:rPr>
            </w:pPr>
            <w:r>
              <w:rPr>
                <w:b/>
                <w:sz w:val="18"/>
                <w:szCs w:val="18"/>
              </w:rPr>
              <w:t xml:space="preserve">Carl van </w:t>
            </w:r>
            <w:r>
              <w:rPr>
                <w:b/>
                <w:sz w:val="18"/>
                <w:szCs w:val="18"/>
              </w:rPr>
              <w:t>Dyck</w:t>
            </w:r>
            <w:r>
              <w:rPr>
                <w:b/>
                <w:sz w:val="18"/>
                <w:szCs w:val="18"/>
              </w:rPr>
              <w:t>教授</w:t>
            </w:r>
          </w:p>
          <w:p>
            <w:pPr>
              <w:pStyle w:val="style0"/>
              <w:ind w:firstLine="0" w:firstLineChars="0"/>
              <w:rPr>
                <w:sz w:val="18"/>
                <w:szCs w:val="18"/>
              </w:rPr>
            </w:pPr>
            <w:r>
              <w:rPr>
                <w:sz w:val="18"/>
                <w:szCs w:val="18"/>
              </w:rPr>
              <w:t>BSN</w:t>
            </w:r>
            <w:r>
              <w:rPr>
                <w:rFonts w:hint="eastAsia"/>
                <w:sz w:val="18"/>
                <w:szCs w:val="18"/>
              </w:rPr>
              <w:t>战略管理教授</w:t>
            </w:r>
            <w:r>
              <w:rPr>
                <w:sz w:val="18"/>
                <w:szCs w:val="18"/>
              </w:rPr>
              <w:br/>
            </w:r>
            <w:r>
              <w:rPr>
                <w:rFonts w:hint="eastAsia"/>
                <w:sz w:val="18"/>
                <w:szCs w:val="18"/>
              </w:rPr>
              <w:t>比利时驻荷兰商会会长</w:t>
            </w:r>
          </w:p>
          <w:p>
            <w:pPr>
              <w:pStyle w:val="style0"/>
              <w:ind w:firstLine="0" w:firstLineChars="0"/>
              <w:rPr>
                <w:sz w:val="18"/>
                <w:szCs w:val="18"/>
              </w:rPr>
            </w:pPr>
            <w:r>
              <w:rPr>
                <w:rFonts w:hint="eastAsia"/>
                <w:sz w:val="18"/>
                <w:szCs w:val="18"/>
              </w:rPr>
              <w:t>毕业于哈佛商学院。资深管理咨询顾问。曾担任印度政府大型参股企业新能源公司的市场和销售总监、佳能集团国际市场和销售负责人以及欧洲银行财务总监等工作。</w:t>
            </w:r>
            <w:r>
              <w:rPr>
                <w:rFonts w:hint="eastAsia"/>
                <w:sz w:val="18"/>
                <w:szCs w:val="18"/>
              </w:rPr>
              <w:t xml:space="preserve"> </w:t>
            </w:r>
          </w:p>
        </w:tc>
      </w:tr>
      <w:tr>
        <w:tblPrEx/>
        <w:trPr>
          <w:jc w:val="center"/>
        </w:trPr>
        <w:tc>
          <w:tcPr>
            <w:tcW w:w="1273" w:type="dxa"/>
            <w:tcBorders>
              <w:top w:val="single" w:sz="12" w:space="0" w:color="ffffff"/>
              <w:left w:val="nil"/>
              <w:bottom w:val="nil"/>
              <w:right w:val="single" w:sz="4" w:space="0" w:color="ff0000"/>
            </w:tcBorders>
          </w:tcPr>
          <w:p>
            <w:pPr>
              <w:pStyle w:val="style0"/>
              <w:ind w:left="-136" w:leftChars="-65" w:firstLine="0" w:firstLineChars="0"/>
              <w:rPr>
                <w:sz w:val="18"/>
                <w:szCs w:val="18"/>
              </w:rPr>
            </w:pPr>
            <w:r>
              <w:rPr>
                <w:noProof/>
                <w:sz w:val="18"/>
                <w:szCs w:val="18"/>
              </w:rPr>
              <w:drawing>
                <wp:inline distL="0" distT="0" distB="0" distR="0">
                  <wp:extent cx="790575" cy="895350"/>
                  <wp:effectExtent l="19050" t="0" r="9525" b="0"/>
                  <wp:docPr id="106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30" cstate="print"/>
                          <a:srcRect l="11702" t="0" r="0" b="0"/>
                          <a:stretch/>
                        </pic:blipFill>
                        <pic:spPr>
                          <a:xfrm rot="0">
                            <a:off x="0" y="0"/>
                            <a:ext cx="790575" cy="895350"/>
                          </a:xfrm>
                          <a:prstGeom prst="rect"/>
                        </pic:spPr>
                      </pic:pic>
                    </a:graphicData>
                  </a:graphic>
                </wp:inline>
              </w:drawing>
            </w:r>
          </w:p>
        </w:tc>
        <w:tc>
          <w:tcPr>
            <w:tcW w:w="3033" w:type="dxa"/>
            <w:tcBorders>
              <w:top w:val="single" w:sz="4" w:space="0" w:color="ff0000"/>
              <w:left w:val="single" w:sz="4" w:space="0" w:color="ff0000"/>
              <w:bottom w:val="nil"/>
              <w:right w:val="single" w:sz="12" w:space="0" w:color="ffffff"/>
            </w:tcBorders>
          </w:tcPr>
          <w:p>
            <w:pPr>
              <w:pStyle w:val="style0"/>
              <w:ind w:firstLine="0" w:firstLineChars="0"/>
              <w:rPr>
                <w:b/>
                <w:sz w:val="18"/>
                <w:szCs w:val="18"/>
              </w:rPr>
            </w:pPr>
            <w:r>
              <w:rPr>
                <w:b/>
                <w:sz w:val="18"/>
                <w:szCs w:val="18"/>
              </w:rPr>
              <w:t>Henri Masson</w:t>
            </w:r>
            <w:r>
              <w:rPr>
                <w:rFonts w:hint="eastAsia"/>
                <w:b/>
                <w:sz w:val="18"/>
                <w:szCs w:val="18"/>
              </w:rPr>
              <w:t>博士</w:t>
            </w:r>
          </w:p>
          <w:p>
            <w:pPr>
              <w:pStyle w:val="style0"/>
              <w:ind w:firstLine="0" w:firstLineChars="0"/>
              <w:rPr>
                <w:sz w:val="18"/>
                <w:szCs w:val="18"/>
              </w:rPr>
            </w:pPr>
            <w:r>
              <w:rPr>
                <w:sz w:val="18"/>
                <w:szCs w:val="18"/>
              </w:rPr>
              <w:t>BSN</w:t>
            </w:r>
            <w:r>
              <w:rPr>
                <w:rFonts w:hint="eastAsia"/>
                <w:sz w:val="18"/>
                <w:szCs w:val="18"/>
              </w:rPr>
              <w:t>国际管理教授</w:t>
            </w:r>
            <w:r>
              <w:rPr>
                <w:sz w:val="18"/>
                <w:szCs w:val="18"/>
              </w:rPr>
              <w:br/>
            </w:r>
            <w:r>
              <w:rPr>
                <w:rFonts w:hint="eastAsia"/>
                <w:sz w:val="18"/>
                <w:szCs w:val="18"/>
              </w:rPr>
              <w:t>欧洲工商协会（</w:t>
            </w:r>
            <w:r>
              <w:rPr>
                <w:rFonts w:hint="eastAsia"/>
                <w:sz w:val="18"/>
                <w:szCs w:val="18"/>
              </w:rPr>
              <w:t>SEII</w:t>
            </w:r>
            <w:r>
              <w:rPr>
                <w:rFonts w:hint="eastAsia"/>
                <w:sz w:val="18"/>
                <w:szCs w:val="18"/>
              </w:rPr>
              <w:t>）会长</w:t>
            </w:r>
          </w:p>
          <w:p>
            <w:pPr>
              <w:pStyle w:val="style0"/>
              <w:ind w:firstLine="0" w:firstLineChars="0"/>
              <w:jc w:val="both"/>
              <w:rPr>
                <w:b/>
                <w:color w:val="a6a6a6"/>
                <w:sz w:val="18"/>
                <w:szCs w:val="18"/>
              </w:rPr>
            </w:pPr>
            <w:r>
              <w:rPr>
                <w:rFonts w:hint="eastAsia"/>
                <w:sz w:val="18"/>
                <w:szCs w:val="18"/>
              </w:rPr>
              <w:t>英国剑桥大学、比利时安特卫普大学等多所欧洲名校任教，为欧盟和欧洲议会担任政策和评估顾问长达</w:t>
            </w:r>
            <w:r>
              <w:rPr>
                <w:rFonts w:hint="eastAsia"/>
                <w:sz w:val="18"/>
                <w:szCs w:val="18"/>
              </w:rPr>
              <w:t>25</w:t>
            </w:r>
            <w:r>
              <w:rPr>
                <w:rFonts w:hint="eastAsia"/>
                <w:sz w:val="18"/>
                <w:szCs w:val="18"/>
              </w:rPr>
              <w:t>年，联合国开发计划署、世界银行等国际经济项目负责人和高级专家。</w:t>
            </w:r>
          </w:p>
        </w:tc>
        <w:tc>
          <w:tcPr>
            <w:tcW w:w="1274" w:type="dxa"/>
            <w:tcBorders>
              <w:top w:val="single" w:sz="12" w:space="0" w:color="ffffff"/>
              <w:left w:val="single" w:sz="12" w:space="0" w:color="ffffff"/>
              <w:bottom w:val="nil"/>
              <w:right w:val="single" w:sz="4" w:space="0" w:color="ff0000"/>
            </w:tcBorders>
          </w:tcPr>
          <w:p>
            <w:pPr>
              <w:pStyle w:val="style0"/>
              <w:ind w:firstLine="0" w:firstLineChars="0"/>
              <w:rPr>
                <w:sz w:val="18"/>
                <w:szCs w:val="18"/>
              </w:rPr>
            </w:pPr>
            <w:r>
              <w:rPr>
                <w:noProof/>
                <w:sz w:val="18"/>
                <w:szCs w:val="18"/>
              </w:rPr>
              <w:drawing>
                <wp:inline distL="0" distT="0" distB="0" distR="0">
                  <wp:extent cx="711835" cy="899794"/>
                  <wp:effectExtent l="19050" t="0" r="0" b="0"/>
                  <wp:docPr id="1068"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8"/>
                          <pic:cNvPicPr/>
                        </pic:nvPicPr>
                        <pic:blipFill>
                          <a:blip r:embed="rId31" cstate="print"/>
                          <a:srcRect l="7200" t="4487" r="6401" b="7820"/>
                          <a:stretch/>
                        </pic:blipFill>
                        <pic:spPr>
                          <a:xfrm rot="0">
                            <a:off x="0" y="0"/>
                            <a:ext cx="711835" cy="899794"/>
                          </a:xfrm>
                          <a:prstGeom prst="rect"/>
                          <a:ln>
                            <a:noFill/>
                          </a:ln>
                        </pic:spPr>
                      </pic:pic>
                    </a:graphicData>
                  </a:graphic>
                </wp:inline>
              </w:drawing>
            </w:r>
          </w:p>
        </w:tc>
        <w:tc>
          <w:tcPr>
            <w:tcW w:w="3033" w:type="dxa"/>
            <w:tcBorders>
              <w:top w:val="single" w:sz="4" w:space="0" w:color="ff0000"/>
              <w:left w:val="single" w:sz="4" w:space="0" w:color="ff0000"/>
              <w:bottom w:val="nil"/>
              <w:right w:val="nil"/>
            </w:tcBorders>
          </w:tcPr>
          <w:p>
            <w:pPr>
              <w:pStyle w:val="style0"/>
              <w:ind w:firstLine="0" w:firstLineChars="0"/>
              <w:rPr>
                <w:b/>
                <w:sz w:val="18"/>
                <w:szCs w:val="18"/>
              </w:rPr>
            </w:pPr>
            <w:r>
              <w:rPr>
                <w:b/>
                <w:sz w:val="18"/>
                <w:szCs w:val="18"/>
              </w:rPr>
              <w:t xml:space="preserve">Marius </w:t>
            </w:r>
            <w:r>
              <w:rPr>
                <w:b/>
                <w:sz w:val="18"/>
                <w:szCs w:val="18"/>
              </w:rPr>
              <w:t>Leibold</w:t>
            </w:r>
            <w:r>
              <w:rPr>
                <w:rFonts w:hint="eastAsia"/>
                <w:b/>
                <w:sz w:val="18"/>
                <w:szCs w:val="18"/>
              </w:rPr>
              <w:t>博士</w:t>
            </w:r>
          </w:p>
          <w:p>
            <w:pPr>
              <w:pStyle w:val="style0"/>
              <w:ind w:firstLine="0" w:firstLineChars="0"/>
              <w:rPr>
                <w:sz w:val="18"/>
                <w:szCs w:val="18"/>
              </w:rPr>
            </w:pPr>
            <w:r>
              <w:rPr>
                <w:sz w:val="18"/>
                <w:szCs w:val="18"/>
              </w:rPr>
              <w:t>BSN</w:t>
            </w:r>
            <w:r>
              <w:rPr>
                <w:rFonts w:hint="eastAsia"/>
                <w:sz w:val="18"/>
                <w:szCs w:val="18"/>
              </w:rPr>
              <w:t>战略管理教授</w:t>
            </w:r>
            <w:r>
              <w:rPr>
                <w:sz w:val="18"/>
                <w:szCs w:val="18"/>
              </w:rPr>
              <w:br/>
            </w:r>
            <w:r>
              <w:rPr>
                <w:rFonts w:hint="eastAsia"/>
                <w:sz w:val="18"/>
                <w:szCs w:val="18"/>
              </w:rPr>
              <w:t>荷兰管理畅销书《</w:t>
            </w:r>
            <w:r>
              <w:rPr>
                <w:rFonts w:hint="eastAsia"/>
                <w:sz w:val="18"/>
                <w:szCs w:val="18"/>
              </w:rPr>
              <w:t>Code 959</w:t>
            </w:r>
            <w:r>
              <w:rPr>
                <w:rFonts w:hint="eastAsia"/>
                <w:sz w:val="18"/>
                <w:szCs w:val="18"/>
              </w:rPr>
              <w:t>》作者</w:t>
            </w:r>
          </w:p>
          <w:p>
            <w:pPr>
              <w:pStyle w:val="style0"/>
              <w:ind w:firstLine="0" w:firstLineChars="0"/>
              <w:jc w:val="both"/>
              <w:rPr>
                <w:sz w:val="18"/>
                <w:szCs w:val="18"/>
              </w:rPr>
            </w:pPr>
            <w:r>
              <w:rPr>
                <w:rFonts w:hint="eastAsia"/>
                <w:sz w:val="18"/>
                <w:szCs w:val="18"/>
              </w:rPr>
              <w:t>荷兰贵族名校奈耶洛德商业大学教授，为西门子、大众、奥迪、荷兰航空、</w:t>
            </w:r>
            <w:r>
              <w:rPr>
                <w:rFonts w:hint="eastAsia"/>
                <w:sz w:val="18"/>
                <w:szCs w:val="18"/>
              </w:rPr>
              <w:t>TNT</w:t>
            </w:r>
            <w:r>
              <w:rPr>
                <w:rFonts w:hint="eastAsia"/>
                <w:sz w:val="18"/>
                <w:szCs w:val="18"/>
              </w:rPr>
              <w:t>等世界名企常年提供咨询服务，撰写过多部管理畅销书籍，其中的《</w:t>
            </w:r>
            <w:r>
              <w:rPr>
                <w:rFonts w:hint="eastAsia"/>
                <w:sz w:val="18"/>
                <w:szCs w:val="18"/>
              </w:rPr>
              <w:t>Code 959</w:t>
            </w:r>
            <w:r>
              <w:rPr>
                <w:rFonts w:hint="eastAsia"/>
                <w:sz w:val="18"/>
                <w:szCs w:val="18"/>
              </w:rPr>
              <w:t>》曾荣登销量榜首。</w:t>
            </w:r>
          </w:p>
        </w:tc>
      </w:tr>
    </w:tbl>
    <w:p>
      <w:pPr>
        <w:pStyle w:val="style0"/>
        <w:adjustRightInd/>
        <w:snapToGrid/>
        <w:ind w:firstLine="0" w:firstLineChars="0"/>
        <w:rPr/>
      </w:pPr>
      <w:r>
        <w:br w:type="page"/>
      </w:r>
    </w:p>
    <w:p>
      <w:pPr>
        <w:pStyle w:val="style1"/>
        <w:rPr/>
      </w:pPr>
      <w:r>
        <w:rPr/>
        <w:pict>
          <v:rect id="1069" stroked="t" style="position:absolute;margin-left:-34.7pt;margin-top:-31.75pt;width:527.25pt;height:773.85pt;z-index:-2147483604;mso-position-horizontal-relative:text;mso-position-vertical-relative:text;mso-width-relative:page;mso-height-relative:page;mso-wrap-distance-left:0.0pt;mso-wrap-distance-right:0.0pt;visibility:visible;">
            <v:stroke color="#f79646" weight="2.5pt"/>
            <v:fill/>
          </v:rect>
        </w:pict>
      </w:r>
      <w:r>
        <w:rPr/>
        <w:pict>
          <v:rect id="1070" fillcolor="#8f8f8f" stroked="f" style="position:absolute;margin-left:-72.85pt;margin-top:-67.5pt;width:601.1pt;height:854.75pt;z-index:-2147483612;mso-position-horizontal-relative:text;mso-position-vertical-relative:text;mso-width-relative:page;mso-height-relative:page;mso-wrap-distance-left:0.0pt;mso-wrap-distance-right:0.0pt;visibility:visible;">
            <v:stroke on="f" weight="1.0pt"/>
            <v:fill/>
            <v:shadow on="t" color="#4c2404" offset="1.0pt," offset2="-2.0pt,-2.0pt"/>
          </v:rect>
        </w:pict>
      </w:r>
      <w:r>
        <w:rPr>
          <w:rFonts w:hint="eastAsia"/>
        </w:rPr>
        <w:t xml:space="preserve">  校友网络及活动</w:t>
      </w:r>
    </w:p>
    <w:p>
      <w:pPr>
        <w:pStyle w:val="style2"/>
        <w:spacing w:before="360"/>
        <w:rPr/>
      </w:pPr>
      <w:r>
        <w:rPr>
          <w:rFonts w:hint="eastAsia"/>
        </w:rPr>
        <w:t>校友网络</w:t>
      </w:r>
    </w:p>
    <w:p>
      <w:pPr>
        <w:pStyle w:val="style0"/>
        <w:tabs>
          <w:tab w:val="left" w:leader="none" w:pos="720"/>
        </w:tabs>
        <w:spacing w:afterLines="50"/>
        <w:ind w:firstLine="420"/>
        <w:rPr>
          <w:rFonts w:ascii="微软雅黑" w:hAnsi="微软雅黑"/>
          <w:szCs w:val="21"/>
        </w:rPr>
      </w:pPr>
      <w:r>
        <w:rPr>
          <w:rFonts w:ascii="微软雅黑" w:hAnsi="微软雅黑" w:hint="eastAsia"/>
          <w:szCs w:val="21"/>
        </w:rPr>
        <w:t>迄今为止，BSN荷兰商学院分别以荷兰、中国、南非为洲际中心，在全球建立了11大校区。来自世界60多个国家和地区的学生用荷兰语、英语、西班牙语、汉语和捷克语5种语言，学习最实用的管理理论和工具，讨论最前沿的管理现象和问题。</w:t>
      </w:r>
    </w:p>
    <w:p>
      <w:pPr>
        <w:pStyle w:val="style0"/>
        <w:tabs>
          <w:tab w:val="left" w:leader="none" w:pos="720"/>
        </w:tabs>
        <w:spacing w:afterLines="50"/>
        <w:ind w:firstLine="420"/>
        <w:rPr>
          <w:rFonts w:ascii="微软雅黑" w:hAnsi="微软雅黑"/>
          <w:szCs w:val="21"/>
        </w:rPr>
      </w:pPr>
      <w:r>
        <w:rPr>
          <w:rFonts w:ascii="微软雅黑" w:hAnsi="微软雅黑"/>
          <w:szCs w:val="21"/>
        </w:rPr>
        <w:t>自2008年以来，亚洲学区生源的所属行业、企业属性、地域来源、职能领域都呈现出多元化特点。来自中国（大陆、香港、台湾）、美国、日本、英国、德国、韩国、新西兰、加拿大等13个国家和地区的近两千名学生接受了BSN荷兰商学院的工商管理学位教育。现已有超过千名学生取得了BSN荷兰商学院的工商管理硕士（MBA）和工商管理博士（DBA）学位。</w:t>
      </w:r>
    </w:p>
    <w:p>
      <w:pPr>
        <w:pStyle w:val="style0"/>
        <w:tabs>
          <w:tab w:val="left" w:leader="none" w:pos="720"/>
        </w:tabs>
        <w:spacing w:afterLines="50"/>
        <w:ind w:firstLine="420"/>
        <w:rPr>
          <w:rFonts w:ascii="微软雅黑" w:hAnsi="微软雅黑"/>
          <w:szCs w:val="21"/>
        </w:rPr>
      </w:pPr>
      <w:r>
        <w:rPr>
          <w:rFonts w:ascii="微软雅黑" w:hAnsi="微软雅黑"/>
          <w:szCs w:val="21"/>
        </w:rPr>
        <w:t>大部分校友为国有企业、涉外企业、集体股份制或私营企业的中高级职业经理人、企业家、股东。少数校友服务于科研院校、政府机构。</w:t>
      </w:r>
    </w:p>
    <w:p>
      <w:pPr>
        <w:pStyle w:val="style0"/>
        <w:tabs>
          <w:tab w:val="left" w:leader="none" w:pos="720"/>
        </w:tabs>
        <w:spacing w:afterLines="50"/>
        <w:ind w:firstLine="420"/>
        <w:rPr>
          <w:rFonts w:ascii="微软雅黑" w:hAnsi="微软雅黑"/>
          <w:szCs w:val="21"/>
        </w:rPr>
      </w:pPr>
    </w:p>
    <w:p>
      <w:pPr>
        <w:pStyle w:val="style0"/>
        <w:spacing w:afterLines="50"/>
        <w:ind w:firstLine="420"/>
        <w:rPr>
          <w:b/>
        </w:rPr>
      </w:pPr>
      <w:r>
        <w:rPr>
          <w:rFonts w:hint="eastAsia"/>
          <w:b/>
        </w:rPr>
        <w:t>亚洲学区</w:t>
      </w:r>
      <w:r>
        <w:rPr>
          <w:b/>
        </w:rPr>
        <w:t>部分</w:t>
      </w:r>
      <w:r>
        <w:rPr>
          <w:rFonts w:hint="eastAsia"/>
          <w:b/>
        </w:rPr>
        <w:t>校友所属组织</w:t>
      </w:r>
      <w:r>
        <w:rPr>
          <w:b/>
        </w:rPr>
        <w:t>：</w:t>
      </w:r>
    </w:p>
    <w:p>
      <w:pPr>
        <w:pStyle w:val="style0"/>
        <w:spacing w:afterLines="50"/>
        <w:ind w:firstLine="0" w:firstLineChars="0"/>
        <w:jc w:val="center"/>
        <w:rPr/>
      </w:pPr>
      <w:r>
        <w:rPr>
          <w:noProof/>
        </w:rPr>
        <w:drawing>
          <wp:inline distL="0" distT="0" distB="0" distR="0">
            <wp:extent cx="5108575" cy="2191385"/>
            <wp:effectExtent l="19050" t="0" r="0" b="0"/>
            <wp:docPr id="1071"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34"/>
                    <pic:cNvPicPr/>
                  </pic:nvPicPr>
                  <pic:blipFill>
                    <a:blip r:embed="rId32" cstate="print"/>
                    <a:srcRect l="0" t="0" r="0" b="0"/>
                    <a:stretch/>
                  </pic:blipFill>
                  <pic:spPr>
                    <a:xfrm rot="0">
                      <a:off x="0" y="0"/>
                      <a:ext cx="5108575" cy="2191385"/>
                    </a:xfrm>
                    <a:prstGeom prst="rect"/>
                    <a:ln>
                      <a:noFill/>
                    </a:ln>
                  </pic:spPr>
                </pic:pic>
              </a:graphicData>
            </a:graphic>
          </wp:inline>
        </w:drawing>
      </w:r>
      <w:r>
        <w:rPr>
          <w:noProof/>
        </w:rPr>
        <w:drawing>
          <wp:inline distL="0" distT="0" distB="0" distR="0">
            <wp:extent cx="5154295" cy="2435860"/>
            <wp:effectExtent l="19050" t="0" r="8230" b="0"/>
            <wp:docPr id="1072" name="图片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37"/>
                    <pic:cNvPicPr/>
                  </pic:nvPicPr>
                  <pic:blipFill>
                    <a:blip r:embed="rId33" cstate="print"/>
                    <a:srcRect l="0" t="0" r="0" b="0"/>
                    <a:stretch/>
                  </pic:blipFill>
                  <pic:spPr>
                    <a:xfrm rot="0">
                      <a:off x="0" y="0"/>
                      <a:ext cx="5154295" cy="2435860"/>
                    </a:xfrm>
                    <a:prstGeom prst="rect"/>
                    <a:ln>
                      <a:noFill/>
                    </a:ln>
                  </pic:spPr>
                </pic:pic>
              </a:graphicData>
            </a:graphic>
          </wp:inline>
        </w:drawing>
      </w:r>
    </w:p>
    <w:p>
      <w:pPr>
        <w:pStyle w:val="style2"/>
        <w:spacing w:before="360"/>
        <w:rPr/>
      </w:pPr>
      <w:r>
        <w:rPr>
          <w:rFonts w:ascii="微软雅黑" w:hAnsi="微软雅黑"/>
          <w:szCs w:val="21"/>
        </w:rPr>
        <w:pict>
          <v:rect id="1073" stroked="t" style="position:absolute;margin-left:-38.5pt;margin-top:-36.2pt;width:527.25pt;height:773.85pt;z-index:-2147483602;mso-position-horizontal-relative:text;mso-position-vertical-relative:text;mso-width-relative:page;mso-height-relative:page;mso-wrap-distance-left:0.0pt;mso-wrap-distance-right:0.0pt;visibility:visible;">
            <v:stroke color="#ff6600" weight="2.25pt"/>
            <v:fill/>
          </v:rect>
        </w:pict>
      </w:r>
      <w:r>
        <w:rPr>
          <w:rFonts w:ascii="微软雅黑" w:hAnsi="微软雅黑"/>
          <w:szCs w:val="21"/>
        </w:rPr>
        <w:pict>
          <v:rect id="1074" fillcolor="#8f8f8f" stroked="t" style="position:absolute;margin-left:-74.5pt;margin-top:-68.85pt;width:601.1pt;height:854.75pt;z-index:-2147483603;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rFonts w:hint="eastAsia"/>
        </w:rPr>
        <w:t>校友活动</w:t>
      </w:r>
    </w:p>
    <w:p>
      <w:pPr>
        <w:pStyle w:val="style0"/>
        <w:spacing w:afterLines="50"/>
        <w:ind w:firstLine="420"/>
        <w:rPr>
          <w:rFonts w:ascii="微软雅黑" w:hAnsi="微软雅黑"/>
          <w:szCs w:val="21"/>
        </w:rPr>
      </w:pPr>
      <w:r>
        <w:rPr>
          <w:rFonts w:ascii="微软雅黑" w:hAnsi="微软雅黑"/>
          <w:szCs w:val="21"/>
        </w:rPr>
        <w:t>作为工商管理教育领域践行“行动学习法”的先驱，这所敢为天下先的欧洲一流商学院，从未停止探求的步伐！在当今全球经济一体化的热潮中，如何利用遍布世界各地的校友及企业资源，搭建平台、启迪智慧，共同发展，抢占先机，这一直是BSN人不辍思考的课题！由此产生的一系列校友活动让学生在参加管理学习的同时，在人脉网络和管理格局上也受益匪浅。</w:t>
      </w:r>
    </w:p>
    <w:p>
      <w:pPr>
        <w:pStyle w:val="style0"/>
        <w:spacing w:afterLines="50"/>
        <w:ind w:firstLine="0" w:firstLineChars="0"/>
        <w:rPr>
          <w:rFonts w:ascii="微软雅黑" w:hAnsi="微软雅黑"/>
          <w:szCs w:val="21"/>
        </w:rPr>
      </w:pPr>
      <w:r>
        <w:rPr>
          <w:rFonts w:ascii="微软雅黑" w:hAnsi="微软雅黑"/>
          <w:noProof/>
          <w:szCs w:val="21"/>
        </w:rPr>
        <w:drawing>
          <wp:inline distL="0" distT="0" distB="0" distR="0">
            <wp:extent cx="5688330" cy="1875790"/>
            <wp:effectExtent l="19050" t="0" r="7620" b="0"/>
            <wp:docPr id="107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1"/>
                    <pic:cNvPicPr/>
                  </pic:nvPicPr>
                  <pic:blipFill>
                    <a:blip r:embed="rId34" cstate="print"/>
                    <a:srcRect l="0" t="0" r="0" b="0"/>
                    <a:stretch/>
                  </pic:blipFill>
                  <pic:spPr>
                    <a:xfrm rot="0">
                      <a:off x="0" y="0"/>
                      <a:ext cx="5688330" cy="1875790"/>
                    </a:xfrm>
                    <a:prstGeom prst="rect"/>
                    <a:ln>
                      <a:noFill/>
                    </a:ln>
                  </pic:spPr>
                </pic:pic>
              </a:graphicData>
            </a:graphic>
          </wp:inline>
        </w:drawing>
      </w:r>
    </w:p>
    <w:p>
      <w:pPr>
        <w:pStyle w:val="style3"/>
        <w:spacing w:before="120"/>
        <w:ind w:firstLine="480" w:firstLineChars="200"/>
        <w:rPr/>
      </w:pPr>
      <w:r>
        <w:rPr/>
        <w:pict>
          <v:shapetype id="_x0000_t32" coordsize="21600,21600" o:spt="32" o:oned="t" path="m,l21600,21600e">
            <v:path arrowok="t" fillok="f" o:connecttype="none"/>
            <o:lock v:ext="edit" shapetype="t"/>
          </v:shapetype>
          <v:shape id="1077" type="#_x0000_t32" filled="f" style="position:absolute;margin-left:251.8pt;margin-top:10.7pt;width:224.55pt;height:0.0pt;z-index:22;mso-position-horizontal-relative:text;mso-position-vertical-relative:text;mso-width-relative:page;mso-height-relative:page;mso-wrap-distance-left:0.0pt;mso-wrap-distance-right:0.0pt;visibility:visible;flip:x;">
            <v:stroke dashstyle="1.0 1.0" endcap="round" color="#ff6600" weight="3.0pt"/>
            <v:fill/>
            <v:path o:connecttype="none" fillok="f" arrowok="t"/>
          </v:shape>
        </w:pict>
      </w:r>
      <w:r>
        <w:rPr>
          <w:rFonts w:hint="eastAsia"/>
        </w:rPr>
        <w:t>标杆参访</w:t>
      </w:r>
    </w:p>
    <w:p>
      <w:pPr>
        <w:pStyle w:val="style0"/>
        <w:tabs>
          <w:tab w:val="left" w:leader="none" w:pos="720"/>
        </w:tabs>
        <w:spacing w:afterLines="50"/>
        <w:ind w:firstLine="420"/>
        <w:rPr>
          <w:rFonts w:ascii="微软雅黑" w:hAnsi="微软雅黑"/>
          <w:szCs w:val="21"/>
        </w:rPr>
      </w:pPr>
      <w:r>
        <w:rPr>
          <w:rFonts w:ascii="微软雅黑" w:hAnsi="微软雅黑"/>
          <w:szCs w:val="21"/>
        </w:rPr>
        <w:t>科学技术日新月异，商业模式飞速迭代，企业如何在激烈竞争中脱颖而出?参访活动使校友深入接触全球各行业标杆企业，通过</w:t>
      </w:r>
      <w:r>
        <w:rPr>
          <w:rFonts w:ascii="微软雅黑" w:hAnsi="微软雅黑" w:hint="eastAsia"/>
          <w:szCs w:val="21"/>
        </w:rPr>
        <w:t>董事会主席、联合创始人、首席执行官及</w:t>
      </w:r>
      <w:r>
        <w:rPr>
          <w:rFonts w:ascii="微软雅黑" w:hAnsi="微软雅黑"/>
          <w:szCs w:val="21"/>
        </w:rPr>
        <w:t>专家深度解析企业健康发展秘籍，探究商学理论与管理实践的结合精髓，体会趋势研究和细节把握的平衡智慧。</w:t>
      </w:r>
    </w:p>
    <w:p>
      <w:pPr>
        <w:pStyle w:val="style0"/>
        <w:tabs>
          <w:tab w:val="left" w:leader="none" w:pos="720"/>
        </w:tabs>
        <w:spacing w:afterLines="50"/>
        <w:ind w:firstLine="420"/>
        <w:rPr>
          <w:rFonts w:ascii="微软雅黑" w:hAnsi="微软雅黑"/>
          <w:szCs w:val="21"/>
        </w:rPr>
      </w:pPr>
      <w:r>
        <w:rPr>
          <w:rFonts w:ascii="微软雅黑" w:hAnsi="微软雅黑"/>
          <w:szCs w:val="21"/>
        </w:rPr>
        <w:t>迄今为止，BSN荷兰商学院的中荷校友参访了阿里巴巴、百度、京东、</w:t>
      </w:r>
      <w:r>
        <w:rPr>
          <w:rFonts w:ascii="微软雅黑" w:hAnsi="微软雅黑" w:hint="eastAsia"/>
          <w:szCs w:val="21"/>
        </w:rPr>
        <w:t>ofo</w:t>
      </w:r>
      <w:r>
        <w:rPr>
          <w:rFonts w:ascii="微软雅黑" w:hAnsi="微软雅黑" w:hint="eastAsia"/>
          <w:szCs w:val="21"/>
        </w:rPr>
        <w:t>、泰康</w:t>
      </w:r>
      <w:r>
        <w:rPr>
          <w:rFonts w:ascii="微软雅黑" w:hAnsi="微软雅黑"/>
          <w:szCs w:val="21"/>
        </w:rPr>
        <w:t>、</w:t>
      </w:r>
      <w:r>
        <w:rPr>
          <w:rFonts w:ascii="微软雅黑" w:hAnsi="微软雅黑" w:hint="eastAsia"/>
          <w:szCs w:val="21"/>
        </w:rPr>
        <w:t>安邦、神州数码</w:t>
      </w:r>
      <w:r>
        <w:rPr>
          <w:rFonts w:ascii="微软雅黑" w:hAnsi="微软雅黑"/>
          <w:szCs w:val="21"/>
        </w:rPr>
        <w:t>等</w:t>
      </w:r>
      <w:r>
        <w:rPr>
          <w:rFonts w:ascii="微软雅黑" w:hAnsi="微软雅黑" w:hint="eastAsia"/>
          <w:szCs w:val="21"/>
        </w:rPr>
        <w:t>数十</w:t>
      </w:r>
      <w:r>
        <w:rPr>
          <w:rFonts w:ascii="微软雅黑" w:hAnsi="微软雅黑"/>
          <w:szCs w:val="21"/>
        </w:rPr>
        <w:t>家中国大型标杆企业，中国校友也到访荷兰，与全球500强商业巨头荷兰国际集团（ING），荷兰合作银行（</w:t>
      </w:r>
      <w:r>
        <w:rPr>
          <w:rFonts w:ascii="微软雅黑" w:hAnsi="微软雅黑"/>
          <w:szCs w:val="21"/>
        </w:rPr>
        <w:t>Rabobank</w:t>
      </w:r>
      <w:r>
        <w:rPr>
          <w:rFonts w:ascii="微软雅黑" w:hAnsi="微软雅黑"/>
          <w:szCs w:val="21"/>
        </w:rPr>
        <w:t>）等进行了深度交流。</w:t>
      </w:r>
    </w:p>
    <w:p>
      <w:pPr>
        <w:pStyle w:val="style3"/>
        <w:spacing w:before="120"/>
        <w:ind w:firstLine="420" w:firstLineChars="200"/>
        <w:jc w:val="center"/>
        <w:rPr>
          <w:sz w:val="21"/>
          <w:szCs w:val="21"/>
        </w:rPr>
      </w:pPr>
      <w:r>
        <w:rPr>
          <w:rFonts w:hint="eastAsia"/>
          <w:sz w:val="21"/>
          <w:szCs w:val="21"/>
        </w:rPr>
        <w:t>2017</w:t>
      </w:r>
      <w:r>
        <w:rPr>
          <w:rFonts w:hint="eastAsia"/>
          <w:sz w:val="21"/>
          <w:szCs w:val="21"/>
        </w:rPr>
        <w:t>年参访企业（部分）</w:t>
      </w:r>
    </w:p>
    <w:p>
      <w:pPr>
        <w:pStyle w:val="style0"/>
        <w:tabs>
          <w:tab w:val="left" w:leader="none" w:pos="720"/>
        </w:tabs>
        <w:spacing w:afterLines="50"/>
        <w:ind w:firstLine="0" w:firstLineChars="0"/>
        <w:jc w:val="center"/>
        <w:rPr>
          <w:rFonts w:ascii="微软雅黑" w:hAnsi="微软雅黑"/>
          <w:szCs w:val="21"/>
        </w:rPr>
      </w:pPr>
      <w:r>
        <w:rPr>
          <w:rFonts w:ascii="微软雅黑" w:hAnsi="微软雅黑"/>
          <w:noProof/>
          <w:szCs w:val="21"/>
        </w:rPr>
        <w:drawing>
          <wp:inline distL="0" distT="0" distB="0" distR="0">
            <wp:extent cx="5391150" cy="957580"/>
            <wp:effectExtent l="19050" t="0" r="0" b="0"/>
            <wp:docPr id="107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1"/>
                    <pic:cNvPicPr/>
                  </pic:nvPicPr>
                  <pic:blipFill>
                    <a:blip r:embed="rId35" cstate="print"/>
                    <a:srcRect l="0" t="0" r="0" b="0"/>
                    <a:stretch/>
                  </pic:blipFill>
                  <pic:spPr>
                    <a:xfrm rot="0">
                      <a:off x="0" y="0"/>
                      <a:ext cx="5391150" cy="957580"/>
                    </a:xfrm>
                    <a:prstGeom prst="rect"/>
                    <a:ln>
                      <a:noFill/>
                    </a:ln>
                  </pic:spPr>
                </pic:pic>
              </a:graphicData>
            </a:graphic>
          </wp:inline>
        </w:drawing>
      </w:r>
    </w:p>
    <w:p>
      <w:pPr>
        <w:pStyle w:val="style3"/>
        <w:spacing w:before="120"/>
        <w:ind w:firstLine="420" w:firstLineChars="200"/>
        <w:jc w:val="center"/>
        <w:rPr>
          <w:sz w:val="21"/>
          <w:szCs w:val="21"/>
        </w:rPr>
      </w:pPr>
      <w:r>
        <w:rPr>
          <w:rFonts w:hint="eastAsia"/>
          <w:noProof/>
          <w:sz w:val="21"/>
          <w:szCs w:val="21"/>
        </w:rPr>
        <w:drawing>
          <wp:anchor distT="0" distB="0" distL="0" distR="0" simplePos="false" relativeHeight="10" behindDoc="false" locked="false" layoutInCell="true" allowOverlap="true">
            <wp:simplePos x="0" y="0"/>
            <wp:positionH relativeFrom="column">
              <wp:posOffset>220980</wp:posOffset>
            </wp:positionH>
            <wp:positionV relativeFrom="paragraph">
              <wp:posOffset>224155</wp:posOffset>
            </wp:positionV>
            <wp:extent cx="5488305" cy="2582545"/>
            <wp:effectExtent l="19050" t="0" r="0" b="0"/>
            <wp:wrapNone/>
            <wp:docPr id="1079"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1"/>
                    <pic:cNvPicPr/>
                  </pic:nvPicPr>
                  <pic:blipFill>
                    <a:blip r:embed="rId36" cstate="print"/>
                    <a:srcRect l="0" t="18122" r="0" b="0"/>
                    <a:stretch/>
                  </pic:blipFill>
                  <pic:spPr>
                    <a:xfrm rot="0">
                      <a:off x="0" y="0"/>
                      <a:ext cx="5488305" cy="2582545"/>
                    </a:xfrm>
                    <a:prstGeom prst="rect"/>
                    <a:ln>
                      <a:noFill/>
                    </a:ln>
                  </pic:spPr>
                </pic:pic>
              </a:graphicData>
            </a:graphic>
          </wp:anchor>
        </w:drawing>
      </w:r>
      <w:r>
        <w:rPr>
          <w:rFonts w:hint="eastAsia"/>
          <w:sz w:val="21"/>
          <w:szCs w:val="21"/>
        </w:rPr>
        <w:t>2011-2016</w:t>
      </w:r>
      <w:r>
        <w:rPr>
          <w:rFonts w:hint="eastAsia"/>
          <w:sz w:val="21"/>
          <w:szCs w:val="21"/>
        </w:rPr>
        <w:t>年参访企业（部分）</w:t>
      </w:r>
    </w:p>
    <w:p>
      <w:pPr>
        <w:pStyle w:val="style0"/>
        <w:ind w:firstLine="420"/>
        <w:rPr/>
      </w:pPr>
    </w:p>
    <w:p>
      <w:pPr>
        <w:pStyle w:val="style0"/>
        <w:tabs>
          <w:tab w:val="left" w:leader="none" w:pos="720"/>
        </w:tabs>
        <w:spacing w:afterLines="50"/>
        <w:ind w:firstLine="420"/>
        <w:rPr>
          <w:rFonts w:ascii="微软雅黑" w:hAnsi="微软雅黑"/>
          <w:szCs w:val="21"/>
        </w:rPr>
      </w:pPr>
    </w:p>
    <w:p>
      <w:pPr>
        <w:pStyle w:val="style0"/>
        <w:adjustRightInd/>
        <w:snapToGrid/>
        <w:spacing w:after="0"/>
        <w:ind w:firstLine="0" w:firstLineChars="0"/>
        <w:rPr>
          <w:rFonts w:ascii="微软雅黑" w:hAnsi="微软雅黑"/>
          <w:szCs w:val="21"/>
        </w:rPr>
      </w:pPr>
    </w:p>
    <w:tbl>
      <w:tblPr>
        <w:tblStyle w:val="style154"/>
        <w:tblW w:w="9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9"/>
        <w:gridCol w:w="4540"/>
      </w:tblGrid>
      <w:tr>
        <w:trPr>
          <w:trHeight w:val="2987" w:hRule="atLeast"/>
          <w:jc w:val="center"/>
        </w:trPr>
        <w:tc>
          <w:tcPr>
            <w:tcW w:w="4539" w:type="dxa"/>
            <w:tcBorders>
              <w:bottom w:val="single" w:sz="4" w:space="0" w:color="ffffff"/>
              <w:right w:val="dashSmallGap" w:sz="4" w:space="0" w:color="ff6600"/>
            </w:tcBorders>
          </w:tcPr>
          <w:p>
            <w:pPr>
              <w:pStyle w:val="style0"/>
              <w:spacing w:afterLines="50" w:lineRule="atLeast" w:line="360"/>
              <w:ind w:firstLine="0" w:firstLineChars="0"/>
              <w:jc w:val="center"/>
              <w:rPr>
                <w:rFonts w:ascii="微软雅黑" w:hAnsi="微软雅黑"/>
                <w:sz w:val="20"/>
                <w:szCs w:val="20"/>
              </w:rPr>
            </w:pPr>
            <w:r>
              <w:rPr>
                <w:rFonts w:ascii="微软雅黑" w:hAnsi="微软雅黑"/>
                <w:sz w:val="20"/>
                <w:szCs w:val="21"/>
              </w:rPr>
              <w:pict>
                <v:rect id="1080" fillcolor="#ff9933" stroked="f" style="position:absolute;margin-left:-78.5pt;margin-top:-68.2pt;width:601.1pt;height:842.0pt;z-index:-2147483593;mso-position-horizontal-relative:text;mso-position-vertical-relative:text;mso-width-relative:page;mso-height-relative:page;mso-wrap-distance-left:0.0pt;mso-wrap-distance-right:0.0pt;visibility:visible;">
                  <v:stroke on="f" weight="1.0pt"/>
                  <v:fill/>
                  <v:shadow on="t" color="#4c2404" offset="1.0pt," offset2="-2.0pt,-2.0pt"/>
                </v:rect>
              </w:pict>
            </w:r>
            <w:r>
              <w:rPr>
                <w:rFonts w:ascii="微软雅黑" w:hAnsi="微软雅黑"/>
                <w:sz w:val="20"/>
                <w:szCs w:val="21"/>
              </w:rPr>
              <w:pict>
                <v:rect id="1081" stroked="f" style="position:absolute;margin-left:-41.6pt;margin-top:-33.7pt;width:527.25pt;height:773.85pt;z-index:-2147483592;mso-position-horizontal-relative:text;mso-position-vertical-relative:text;mso-width-relative:page;mso-height-relative:page;mso-wrap-distance-left:0.0pt;mso-wrap-distance-right:0.0pt;visibility:visible;">
                  <v:stroke on="f" weight="2.25pt"/>
                  <v:fill/>
                </v:rect>
              </w:pict>
            </w:r>
            <w:r>
              <w:rPr>
                <w:rFonts w:ascii="微软雅黑" w:hAnsi="微软雅黑"/>
                <w:noProof/>
                <w:sz w:val="20"/>
                <w:szCs w:val="20"/>
              </w:rPr>
              <w:drawing>
                <wp:inline distL="0" distT="0" distB="0" distR="0">
                  <wp:extent cx="2448560" cy="1314450"/>
                  <wp:effectExtent l="19050" t="0" r="8890" b="0"/>
                  <wp:docPr id="1082"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37" cstate="print"/>
                          <a:srcRect l="0" t="13569" r="0" b="5292"/>
                          <a:stretch/>
                        </pic:blipFill>
                        <pic:spPr>
                          <a:xfrm rot="0">
                            <a:off x="0" y="0"/>
                            <a:ext cx="2448560" cy="1314450"/>
                          </a:xfrm>
                          <a:prstGeom prst="rect"/>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△201</w:t>
            </w:r>
            <w:r>
              <w:rPr>
                <w:rFonts w:ascii="微软雅黑" w:hAnsi="微软雅黑" w:hint="eastAsia"/>
                <w:sz w:val="18"/>
                <w:szCs w:val="18"/>
              </w:rPr>
              <w:t>7年6月，荷兰学生参访</w:t>
            </w:r>
            <w:r>
              <w:rPr>
                <w:rFonts w:ascii="微软雅黑" w:hAnsi="微软雅黑" w:hint="eastAsia"/>
                <w:sz w:val="18"/>
                <w:szCs w:val="18"/>
              </w:rPr>
              <w:t>ofo</w:t>
            </w:r>
          </w:p>
          <w:p>
            <w:pPr>
              <w:pStyle w:val="style0"/>
              <w:spacing w:after="0" w:lineRule="atLeast" w:line="100"/>
              <w:ind w:firstLine="0" w:firstLineChars="0"/>
              <w:jc w:val="center"/>
              <w:rPr>
                <w:rFonts w:ascii="微软雅黑" w:hAnsi="微软雅黑"/>
                <w:sz w:val="18"/>
                <w:szCs w:val="18"/>
              </w:rPr>
            </w:pPr>
            <w:r>
              <w:rPr>
                <w:rFonts w:ascii="微软雅黑" w:hAnsi="微软雅黑" w:hint="eastAsia"/>
                <w:sz w:val="18"/>
                <w:szCs w:val="18"/>
              </w:rPr>
              <w:t>ofo</w:t>
            </w:r>
            <w:r>
              <w:rPr>
                <w:rFonts w:ascii="微软雅黑" w:hAnsi="微软雅黑" w:hint="eastAsia"/>
                <w:sz w:val="18"/>
                <w:szCs w:val="18"/>
              </w:rPr>
              <w:t>联合创始人于信先生亲临解读共享商业模式</w:t>
            </w:r>
          </w:p>
          <w:p>
            <w:pPr>
              <w:pStyle w:val="style0"/>
              <w:spacing w:after="0" w:lineRule="atLeast" w:line="100"/>
              <w:ind w:firstLine="0" w:firstLineChars="0"/>
              <w:jc w:val="center"/>
              <w:rPr>
                <w:rFonts w:ascii="微软雅黑" w:hAnsi="微软雅黑"/>
                <w:sz w:val="20"/>
                <w:szCs w:val="20"/>
              </w:rPr>
            </w:pPr>
          </w:p>
          <w:p>
            <w:pPr>
              <w:pStyle w:val="style0"/>
              <w:spacing w:after="0" w:lineRule="atLeast" w:line="100"/>
              <w:ind w:firstLine="0" w:firstLineChars="0"/>
              <w:jc w:val="center"/>
              <w:rPr>
                <w:rFonts w:ascii="微软雅黑" w:hAnsi="微软雅黑"/>
                <w:sz w:val="20"/>
                <w:szCs w:val="20"/>
              </w:rPr>
            </w:pPr>
          </w:p>
        </w:tc>
        <w:tc>
          <w:tcPr>
            <w:tcW w:w="4540" w:type="dxa"/>
            <w:tcBorders>
              <w:left w:val="dashSmallGap" w:sz="4" w:space="0" w:color="ff6600"/>
              <w:bottom w:val="single" w:sz="4" w:space="0" w:color="ffffff"/>
            </w:tcBorders>
          </w:tcPr>
          <w:p>
            <w:pPr>
              <w:pStyle w:val="style0"/>
              <w:spacing w:afterLines="50" w:lineRule="atLeast" w:line="360"/>
              <w:ind w:firstLineChars="111"/>
              <w:rPr>
                <w:rFonts w:ascii="微软雅黑" w:hAnsi="微软雅黑"/>
                <w:sz w:val="18"/>
                <w:szCs w:val="18"/>
              </w:rPr>
            </w:pPr>
            <w:r>
              <w:rPr>
                <w:rFonts w:ascii="微软雅黑" w:hAnsi="微软雅黑"/>
                <w:noProof/>
                <w:sz w:val="18"/>
                <w:szCs w:val="18"/>
              </w:rPr>
              <w:drawing>
                <wp:inline distL="0" distT="0" distB="0" distR="0">
                  <wp:extent cx="2448560" cy="1295400"/>
                  <wp:effectExtent l="19050" t="0" r="8890" b="0"/>
                  <wp:docPr id="1083"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3"/>
                          <pic:cNvPicPr/>
                        </pic:nvPicPr>
                        <pic:blipFill>
                          <a:blip r:embed="rId38" cstate="print">
                            <a:lum bright="10000" contrast="10000"/>
                          </a:blip>
                          <a:srcRect l="3792" t="9158" r="11324" b="23556"/>
                          <a:stretch/>
                        </pic:blipFill>
                        <pic:spPr>
                          <a:xfrm rot="0">
                            <a:off x="0" y="0"/>
                            <a:ext cx="2448560" cy="1295400"/>
                          </a:xfrm>
                          <a:prstGeom prst="rect"/>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 xml:space="preserve"> </w:t>
            </w:r>
            <w:r>
              <w:rPr>
                <w:rFonts w:ascii="微软雅黑" w:hAnsi="微软雅黑"/>
                <w:sz w:val="18"/>
                <w:szCs w:val="18"/>
              </w:rPr>
              <w:t>201</w:t>
            </w:r>
            <w:r>
              <w:rPr>
                <w:rFonts w:ascii="微软雅黑" w:hAnsi="微软雅黑" w:hint="eastAsia"/>
                <w:sz w:val="18"/>
                <w:szCs w:val="18"/>
              </w:rPr>
              <w:t>7年6月，中荷学生参访神州数码</w:t>
            </w:r>
          </w:p>
          <w:p>
            <w:pPr>
              <w:pStyle w:val="style0"/>
              <w:spacing w:after="0" w:lineRule="atLeast" w:line="100"/>
              <w:ind w:firstLine="0" w:firstLineChars="0"/>
              <w:jc w:val="center"/>
              <w:rPr>
                <w:rFonts w:ascii="微软雅黑" w:hAnsi="微软雅黑"/>
                <w:sz w:val="18"/>
                <w:szCs w:val="18"/>
              </w:rPr>
            </w:pPr>
            <w:r>
              <w:rPr>
                <w:rFonts w:ascii="微软雅黑" w:hAnsi="微软雅黑" w:hint="eastAsia"/>
                <w:sz w:val="18"/>
                <w:szCs w:val="18"/>
              </w:rPr>
              <w:t>首席执行官、IT奇才叶成辉先生分享智慧城市新创想</w:t>
            </w:r>
          </w:p>
          <w:p>
            <w:pPr>
              <w:pStyle w:val="style0"/>
              <w:spacing w:after="0" w:lineRule="atLeast" w:line="100"/>
              <w:ind w:firstLine="0" w:firstLineChars="0"/>
              <w:jc w:val="center"/>
              <w:rPr>
                <w:rFonts w:ascii="微软雅黑" w:hAnsi="微软雅黑"/>
                <w:sz w:val="18"/>
                <w:szCs w:val="18"/>
              </w:rPr>
            </w:pPr>
          </w:p>
        </w:tc>
      </w:tr>
      <w:tr>
        <w:tblPrEx/>
        <w:trPr>
          <w:trHeight w:val="339" w:hRule="atLeast"/>
          <w:jc w:val="center"/>
        </w:trPr>
        <w:tc>
          <w:tcPr>
            <w:tcW w:w="4539" w:type="dxa"/>
            <w:tcBorders>
              <w:top w:val="single" w:sz="4" w:space="0" w:color="ffffff"/>
              <w:right w:val="dashSmallGap" w:sz="4" w:space="0" w:color="ff6600"/>
            </w:tcBorders>
          </w:tcPr>
          <w:p>
            <w:pPr>
              <w:pStyle w:val="style0"/>
              <w:spacing w:afterLines="50" w:lineRule="atLeast" w:line="360"/>
              <w:ind w:firstLineChars="100"/>
              <w:rPr>
                <w:rFonts w:ascii="微软雅黑" w:hAnsi="微软雅黑"/>
                <w:sz w:val="20"/>
                <w:szCs w:val="20"/>
              </w:rPr>
            </w:pPr>
            <w:r>
              <w:rPr>
                <w:rFonts w:ascii="微软雅黑" w:hAnsi="微软雅黑"/>
                <w:noProof/>
                <w:sz w:val="20"/>
                <w:szCs w:val="20"/>
              </w:rPr>
              <w:drawing>
                <wp:inline distL="0" distT="0" distB="0" distR="0">
                  <wp:extent cx="2432685" cy="1301750"/>
                  <wp:effectExtent l="19050" t="0" r="5647" b="0"/>
                  <wp:docPr id="1084"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图片 1"/>
                          <pic:cNvPicPr/>
                        </pic:nvPicPr>
                        <pic:blipFill>
                          <a:blip r:embed="rId39" cstate="print"/>
                          <a:srcRect l="0" t="0" r="0" b="0"/>
                          <a:stretch/>
                        </pic:blipFill>
                        <pic:spPr>
                          <a:xfrm rot="0">
                            <a:off x="0" y="0"/>
                            <a:ext cx="2432685" cy="1301750"/>
                          </a:xfrm>
                          <a:prstGeom prst="rect"/>
                          <a:ln>
                            <a:noFill/>
                          </a:ln>
                        </pic:spPr>
                      </pic:pic>
                    </a:graphicData>
                  </a:graphic>
                </wp:inline>
              </w:drawing>
            </w:r>
          </w:p>
        </w:tc>
        <w:tc>
          <w:tcPr>
            <w:tcW w:w="4540" w:type="dxa"/>
            <w:tcBorders>
              <w:top w:val="single" w:sz="4" w:space="0" w:color="ffffff"/>
              <w:left w:val="dashSmallGap" w:sz="4" w:space="0" w:color="ff6600"/>
            </w:tcBorders>
          </w:tcPr>
          <w:p>
            <w:pPr>
              <w:pStyle w:val="style0"/>
              <w:spacing w:afterLines="50" w:lineRule="atLeast" w:line="360"/>
              <w:ind w:firstLineChars="111"/>
              <w:rPr>
                <w:rFonts w:ascii="微软雅黑" w:hAnsi="微软雅黑"/>
                <w:sz w:val="18"/>
                <w:szCs w:val="18"/>
              </w:rPr>
            </w:pPr>
            <w:r>
              <w:rPr>
                <w:rFonts w:ascii="微软雅黑" w:hAnsi="微软雅黑"/>
                <w:noProof/>
                <w:sz w:val="18"/>
                <w:szCs w:val="18"/>
              </w:rPr>
              <w:drawing>
                <wp:inline distL="0" distT="0" distB="0" distR="0">
                  <wp:extent cx="2599690" cy="1301750"/>
                  <wp:effectExtent l="19050" t="0" r="0" b="0"/>
                  <wp:docPr id="1085" name="图片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图片 40"/>
                          <pic:cNvPicPr/>
                        </pic:nvPicPr>
                        <pic:blipFill>
                          <a:blip r:embed="rId40" cstate="print"/>
                          <a:srcRect l="0" t="0" r="0" b="0"/>
                          <a:stretch/>
                        </pic:blipFill>
                        <pic:spPr>
                          <a:xfrm rot="0">
                            <a:off x="0" y="0"/>
                            <a:ext cx="2599690" cy="1301750"/>
                          </a:xfrm>
                          <a:prstGeom prst="rect"/>
                          <a:ln>
                            <a:noFill/>
                          </a:ln>
                        </pic:spPr>
                      </pic:pic>
                    </a:graphicData>
                  </a:graphic>
                </wp:inline>
              </w:drawing>
            </w:r>
          </w:p>
        </w:tc>
      </w:tr>
      <w:tr>
        <w:tblPrEx/>
        <w:trPr>
          <w:jc w:val="center"/>
        </w:trPr>
        <w:tc>
          <w:tcPr>
            <w:tcW w:w="4539" w:type="dxa"/>
            <w:tcBorders>
              <w:right w:val="dashSmallGap" w:sz="4" w:space="0" w:color="ff6600"/>
            </w:tcBorders>
          </w:tcPr>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 xml:space="preserve"> </w:t>
            </w:r>
            <w:r>
              <w:rPr>
                <w:rFonts w:ascii="微软雅黑" w:hAnsi="微软雅黑"/>
                <w:sz w:val="18"/>
                <w:szCs w:val="18"/>
              </w:rPr>
              <w:t>2016</w:t>
            </w:r>
            <w:r>
              <w:rPr>
                <w:rFonts w:ascii="微软雅黑" w:hAnsi="微软雅黑" w:hint="eastAsia"/>
                <w:sz w:val="18"/>
                <w:szCs w:val="18"/>
              </w:rPr>
              <w:t>年6月，参访中国金融经济全球化典范</w:t>
            </w:r>
          </w:p>
          <w:p>
            <w:pPr>
              <w:pStyle w:val="style0"/>
              <w:spacing w:after="0" w:lineRule="atLeast" w:line="100"/>
              <w:ind w:firstLine="0" w:firstLineChars="0"/>
              <w:jc w:val="center"/>
              <w:rPr>
                <w:rFonts w:ascii="微软雅黑" w:hAnsi="微软雅黑"/>
                <w:b/>
                <w:sz w:val="20"/>
                <w:szCs w:val="20"/>
              </w:rPr>
            </w:pPr>
            <w:r>
              <w:rPr>
                <w:rFonts w:ascii="微软雅黑" w:hAnsi="微软雅黑" w:hint="eastAsia"/>
                <w:sz w:val="18"/>
                <w:szCs w:val="18"/>
              </w:rPr>
              <w:t>亚洲学区校友服务企业-安邦保险集团</w:t>
            </w:r>
          </w:p>
        </w:tc>
        <w:tc>
          <w:tcPr>
            <w:tcW w:w="4540" w:type="dxa"/>
            <w:tcBorders>
              <w:left w:val="dashSmallGap" w:sz="4" w:space="0" w:color="ff6600"/>
            </w:tcBorders>
          </w:tcPr>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△201</w:t>
            </w:r>
            <w:r>
              <w:rPr>
                <w:rFonts w:ascii="微软雅黑" w:hAnsi="微软雅黑" w:hint="eastAsia"/>
                <w:sz w:val="18"/>
                <w:szCs w:val="18"/>
              </w:rPr>
              <w:t>0年10月，亚洲学生到访荷兰</w:t>
            </w:r>
          </w:p>
          <w:p>
            <w:pPr>
              <w:pStyle w:val="style0"/>
              <w:spacing w:after="0" w:lineRule="atLeast" w:line="100"/>
              <w:ind w:firstLine="0" w:firstLineChars="0"/>
              <w:jc w:val="center"/>
              <w:rPr>
                <w:rFonts w:ascii="微软雅黑" w:hAnsi="微软雅黑"/>
                <w:sz w:val="18"/>
                <w:szCs w:val="18"/>
              </w:rPr>
            </w:pPr>
            <w:r>
              <w:rPr>
                <w:rFonts w:ascii="微软雅黑" w:hAnsi="微软雅黑" w:hint="eastAsia"/>
                <w:sz w:val="18"/>
                <w:szCs w:val="18"/>
              </w:rPr>
              <w:t>参访全球500强-</w:t>
            </w:r>
            <w:r>
              <w:rPr>
                <w:rFonts w:ascii="微软雅黑" w:hAnsi="微软雅黑" w:hint="eastAsia"/>
                <w:sz w:val="18"/>
                <w:szCs w:val="18"/>
              </w:rPr>
              <w:t>Rabobank</w:t>
            </w:r>
            <w:r>
              <w:rPr>
                <w:rFonts w:ascii="微软雅黑" w:hAnsi="微软雅黑" w:hint="eastAsia"/>
                <w:sz w:val="18"/>
                <w:szCs w:val="18"/>
              </w:rPr>
              <w:t>（荷兰合作银行）</w:t>
            </w:r>
          </w:p>
        </w:tc>
      </w:tr>
    </w:tbl>
    <w:p>
      <w:pPr>
        <w:pStyle w:val="style0"/>
        <w:spacing w:afterLines="50"/>
        <w:ind w:firstLine="0" w:firstLineChars="0"/>
        <w:jc w:val="center"/>
        <w:rPr>
          <w:b/>
          <w:color w:val="ea4604"/>
          <w:sz w:val="24"/>
          <w:szCs w:val="24"/>
        </w:rPr>
      </w:pPr>
    </w:p>
    <w:p>
      <w:pPr>
        <w:pStyle w:val="style3"/>
        <w:spacing w:before="120"/>
        <w:rPr/>
      </w:pPr>
      <w:r>
        <w:rPr>
          <w:rFonts w:hint="eastAsia"/>
        </w:rPr>
        <w:t>政商交流</w:t>
      </w:r>
    </w:p>
    <w:p>
      <w:pPr>
        <w:pStyle w:val="style0"/>
        <w:spacing w:afterLines="50"/>
        <w:ind w:firstLine="420"/>
        <w:rPr>
          <w:rFonts w:ascii="微软雅黑" w:hAnsi="微软雅黑"/>
          <w:szCs w:val="21"/>
        </w:rPr>
      </w:pPr>
      <w:r>
        <w:rPr>
          <w:rFonts w:ascii="微软雅黑" w:hAnsi="微软雅黑"/>
          <w:szCs w:val="21"/>
        </w:rPr>
        <w:t>与政策制定和解读者沟通，</w:t>
      </w:r>
      <w:r>
        <w:rPr>
          <w:rFonts w:ascii="微软雅黑" w:hAnsi="微软雅黑" w:hint="eastAsia"/>
          <w:szCs w:val="21"/>
        </w:rPr>
        <w:t>可</w:t>
      </w:r>
      <w:r>
        <w:rPr>
          <w:rFonts w:ascii="微软雅黑" w:hAnsi="微软雅黑"/>
          <w:szCs w:val="21"/>
        </w:rPr>
        <w:t>帮助企业清晰宏观趋势和经济政策。利用合作伙伴资源，BSN荷兰商学院建立了多学区政商合作网络，帮助校友结识高端政商人脉，洞悉中欧宏观趋势。</w:t>
      </w:r>
    </w:p>
    <w:p>
      <w:pPr>
        <w:pStyle w:val="style0"/>
        <w:spacing w:afterLines="50"/>
        <w:ind w:firstLine="420"/>
        <w:rPr>
          <w:rFonts w:ascii="微软雅黑" w:hAnsi="微软雅黑"/>
          <w:szCs w:val="21"/>
        </w:rPr>
      </w:pPr>
      <w:r>
        <w:rPr>
          <w:rFonts w:ascii="微软雅黑" w:hAnsi="微软雅黑" w:hint="eastAsia"/>
          <w:szCs w:val="21"/>
        </w:rPr>
        <w:t>2016年，BSN亚洲学区组织中荷校友拜访了</w:t>
      </w:r>
      <w:r>
        <w:rPr>
          <w:rFonts w:ascii="微软雅黑" w:hAnsi="微软雅黑"/>
          <w:szCs w:val="21"/>
        </w:rPr>
        <w:t>荷兰王国驻华大使馆、中国民主建国会</w:t>
      </w:r>
      <w:r>
        <w:rPr>
          <w:rFonts w:ascii="微软雅黑" w:hAnsi="微软雅黑" w:hint="eastAsia"/>
          <w:szCs w:val="21"/>
        </w:rPr>
        <w:t>中央</w:t>
      </w:r>
      <w:r>
        <w:rPr>
          <w:rFonts w:ascii="微软雅黑" w:hAnsi="微软雅黑"/>
          <w:szCs w:val="21"/>
        </w:rPr>
        <w:t>、北京市科学技术协会等中荷政府机构</w:t>
      </w:r>
      <w:r>
        <w:rPr>
          <w:rFonts w:ascii="微软雅黑" w:hAnsi="微软雅黑" w:hint="eastAsia"/>
          <w:szCs w:val="21"/>
        </w:rPr>
        <w:t>。</w:t>
      </w:r>
      <w:r>
        <w:rPr>
          <w:rFonts w:ascii="微软雅黑" w:hAnsi="微软雅黑"/>
          <w:szCs w:val="21"/>
        </w:rPr>
        <w:t>5月，BSN荷兰商学院与中关村天合科技成果转化促进中心、荷比卢工商协会等机构成功合作了第四届中国（北京）国际服务贸易交易会（简称京交会）的专题活动。</w:t>
      </w:r>
    </w:p>
    <w:tbl>
      <w:tblPr>
        <w:tblStyle w:val="style154"/>
        <w:tblW w:w="9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9"/>
        <w:gridCol w:w="4540"/>
      </w:tblGrid>
      <w:tr>
        <w:trPr>
          <w:jc w:val="center"/>
        </w:trPr>
        <w:tc>
          <w:tcPr>
            <w:tcW w:w="4539" w:type="dxa"/>
            <w:tcBorders>
              <w:right w:val="dashSmallGap" w:sz="4" w:space="0" w:color="ff6600"/>
            </w:tcBorders>
          </w:tcPr>
          <w:p>
            <w:pPr>
              <w:pStyle w:val="style0"/>
              <w:spacing w:afterLines="50" w:lineRule="atLeast" w:line="360"/>
              <w:ind w:firstLine="0" w:firstLineChars="0"/>
              <w:jc w:val="center"/>
              <w:rPr>
                <w:rFonts w:ascii="微软雅黑" w:hAnsi="微软雅黑"/>
                <w:sz w:val="20"/>
                <w:szCs w:val="20"/>
              </w:rPr>
            </w:pPr>
            <w:r>
              <w:rPr>
                <w:rFonts w:ascii="微软雅黑" w:hAnsi="微软雅黑"/>
                <w:noProof/>
                <w:sz w:val="20"/>
                <w:szCs w:val="20"/>
              </w:rPr>
              <w:drawing>
                <wp:inline distL="0" distT="0" distB="0" distR="0">
                  <wp:extent cx="2423795" cy="1463040"/>
                  <wp:effectExtent l="19050" t="0" r="0" b="0"/>
                  <wp:docPr id="108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图片 1"/>
                          <pic:cNvPicPr/>
                        </pic:nvPicPr>
                        <pic:blipFill>
                          <a:blip r:embed="rId41" cstate="print"/>
                          <a:srcRect l="0" t="0" r="0" b="0"/>
                          <a:stretch/>
                        </pic:blipFill>
                        <pic:spPr>
                          <a:xfrm rot="0">
                            <a:off x="0" y="0"/>
                            <a:ext cx="2423795" cy="1463040"/>
                          </a:xfrm>
                          <a:prstGeom prst="rect"/>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△2016</w:t>
            </w:r>
            <w:r>
              <w:rPr>
                <w:rFonts w:ascii="微软雅黑" w:hAnsi="微软雅黑" w:hint="eastAsia"/>
                <w:sz w:val="18"/>
                <w:szCs w:val="18"/>
              </w:rPr>
              <w:t>年5月，第四届京交会</w:t>
            </w:r>
          </w:p>
          <w:p>
            <w:pPr>
              <w:pStyle w:val="style0"/>
              <w:spacing w:after="0" w:lineRule="atLeast" w:line="100"/>
              <w:ind w:firstLine="0" w:firstLineChars="0"/>
              <w:jc w:val="center"/>
              <w:rPr>
                <w:rFonts w:ascii="微软雅黑" w:hAnsi="微软雅黑"/>
                <w:sz w:val="20"/>
                <w:szCs w:val="20"/>
              </w:rPr>
            </w:pPr>
            <w:r>
              <w:rPr>
                <w:rFonts w:ascii="微软雅黑" w:hAnsi="微软雅黑" w:hint="eastAsia"/>
                <w:sz w:val="18"/>
                <w:szCs w:val="18"/>
              </w:rPr>
              <w:t>与中关村天合科技成果转促中心合作项目正式签约</w:t>
            </w:r>
          </w:p>
        </w:tc>
        <w:tc>
          <w:tcPr>
            <w:tcW w:w="4540" w:type="dxa"/>
            <w:tcBorders>
              <w:left w:val="dashSmallGap" w:sz="4" w:space="0" w:color="ff6600"/>
            </w:tcBorders>
          </w:tcPr>
          <w:p>
            <w:pPr>
              <w:pStyle w:val="style0"/>
              <w:spacing w:afterLines="50" w:lineRule="atLeast" w:line="360"/>
              <w:ind w:firstLine="0" w:firstLineChars="0"/>
              <w:jc w:val="center"/>
              <w:rPr>
                <w:rFonts w:ascii="微软雅黑" w:hAnsi="微软雅黑"/>
                <w:sz w:val="18"/>
                <w:szCs w:val="18"/>
              </w:rPr>
            </w:pPr>
            <w:r>
              <w:rPr>
                <w:rFonts w:ascii="微软雅黑" w:hAnsi="微软雅黑"/>
                <w:noProof/>
                <w:sz w:val="18"/>
                <w:szCs w:val="18"/>
              </w:rPr>
              <w:drawing>
                <wp:inline distL="0" distT="0" distB="0" distR="0">
                  <wp:extent cx="2526030" cy="1463040"/>
                  <wp:effectExtent l="19050" t="0" r="7010" b="0"/>
                  <wp:docPr id="1087"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4"/>
                          <pic:cNvPicPr/>
                        </pic:nvPicPr>
                        <pic:blipFill>
                          <a:blip r:embed="rId42" cstate="print"/>
                          <a:srcRect l="0" t="0" r="0" b="0"/>
                          <a:stretch/>
                        </pic:blipFill>
                        <pic:spPr>
                          <a:xfrm rot="0">
                            <a:off x="0" y="0"/>
                            <a:ext cx="2526030" cy="1463040"/>
                          </a:xfrm>
                          <a:prstGeom prst="rect"/>
                          <a:ln>
                            <a:noFill/>
                          </a:ln>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2016年6月，荷兰王国驻华大使馆</w:t>
            </w:r>
          </w:p>
          <w:p>
            <w:pPr>
              <w:pStyle w:val="style0"/>
              <w:spacing w:after="0" w:lineRule="atLeast" w:line="100"/>
              <w:ind w:firstLine="0" w:firstLineChars="0"/>
              <w:jc w:val="center"/>
              <w:rPr>
                <w:rFonts w:ascii="微软雅黑" w:hAnsi="微软雅黑"/>
                <w:sz w:val="20"/>
                <w:szCs w:val="20"/>
              </w:rPr>
            </w:pPr>
            <w:r>
              <w:rPr>
                <w:rFonts w:ascii="微软雅黑" w:hAnsi="微软雅黑" w:hint="eastAsia"/>
                <w:sz w:val="18"/>
                <w:szCs w:val="18"/>
              </w:rPr>
              <w:t>与荷比卢工商协会共同举办“助力中荷合作”活动</w:t>
            </w:r>
          </w:p>
        </w:tc>
      </w:tr>
    </w:tbl>
    <w:p>
      <w:pPr>
        <w:pStyle w:val="style3"/>
        <w:spacing w:before="120"/>
        <w:rPr/>
      </w:pPr>
    </w:p>
    <w:p>
      <w:pPr>
        <w:pStyle w:val="style0"/>
        <w:ind w:firstLine="420"/>
        <w:rPr>
          <w:rFonts w:ascii="Times New Roman" w:hAnsi="Times New Roman"/>
          <w:color w:val="ea4604"/>
          <w:kern w:val="2"/>
          <w:sz w:val="24"/>
          <w:szCs w:val="24"/>
          <w:u w:val="single"/>
        </w:rPr>
      </w:pPr>
      <w:r>
        <w:br w:type="page"/>
      </w:r>
    </w:p>
    <w:p>
      <w:pPr>
        <w:pStyle w:val="style3"/>
        <w:spacing w:before="120"/>
        <w:rPr/>
      </w:pPr>
      <w:r>
        <w:rPr>
          <w:rFonts w:ascii="微软雅黑" w:hAnsi="微软雅黑"/>
          <w:szCs w:val="21"/>
        </w:rPr>
        <w:pict>
          <v:rect id="1088" fillcolor="#ff9933" stroked="f" style="position:absolute;margin-left:-75.2pt;margin-top:-67.75pt;width:601.1pt;height:842.0pt;z-index:-2147483597;mso-position-horizontal-relative:text;mso-position-vertical-relative:text;mso-width-relative:page;mso-height-relative:page;mso-wrap-distance-left:0.0pt;mso-wrap-distance-right:0.0pt;visibility:visible;">
            <v:stroke on="f" weight="1.0pt"/>
            <v:fill/>
            <v:shadow on="t" color="#4c2404" offset="1.0pt," offset2="-2.0pt,-2.0pt"/>
          </v:rect>
        </w:pict>
      </w:r>
      <w:r>
        <w:rPr>
          <w:rFonts w:ascii="微软雅黑" w:hAnsi="微软雅黑"/>
          <w:szCs w:val="21"/>
        </w:rPr>
        <w:pict>
          <v:rect id="1089" stroked="f" style="position:absolute;margin-left:-38.3pt;margin-top:-33.25pt;width:527.25pt;height:773.85pt;z-index:-2147483596;mso-position-horizontal-relative:text;mso-position-vertical-relative:text;mso-width-relative:page;mso-height-relative:page;mso-wrap-distance-left:0.0pt;mso-wrap-distance-right:0.0pt;visibility:visible;">
            <v:stroke on="f" weight="2.25pt"/>
            <v:fill/>
          </v:rect>
        </w:pict>
      </w:r>
      <w:r>
        <w:rPr>
          <w:rFonts w:ascii="微软雅黑" w:hAnsi="微软雅黑"/>
          <w:szCs w:val="21"/>
        </w:rPr>
        <w:pict>
          <v:shape id="1090" type="#_x0000_t32" filled="f" style="position:absolute;margin-left:261.45pt;margin-top:15.55pt;width:224.55pt;height:0.0pt;z-index:23;mso-position-horizontal-relative:text;mso-position-vertical-relative:text;mso-width-relative:page;mso-height-relative:page;mso-wrap-distance-left:0.0pt;mso-wrap-distance-right:0.0pt;visibility:visible;flip:x;">
            <v:stroke dashstyle="1.0 1.0" endcap="round" color="#ff6600" weight="3.0pt"/>
            <v:fill/>
            <v:path o:connecttype="none" fillok="f" arrowok="t"/>
          </v:shape>
        </w:pict>
      </w:r>
      <w:r>
        <w:rPr>
          <w:rFonts w:hint="eastAsia"/>
        </w:rPr>
        <w:t>中外游学</w:t>
      </w:r>
    </w:p>
    <w:p>
      <w:pPr>
        <w:pStyle w:val="style0"/>
        <w:spacing w:afterLines="50"/>
        <w:ind w:firstLine="420"/>
        <w:rPr>
          <w:rFonts w:ascii="微软雅黑" w:hAnsi="微软雅黑"/>
          <w:szCs w:val="21"/>
        </w:rPr>
      </w:pPr>
      <w:r>
        <w:rPr>
          <w:rFonts w:ascii="微软雅黑" w:hAnsi="微软雅黑" w:hint="eastAsia"/>
          <w:szCs w:val="21"/>
        </w:rPr>
        <w:t>一同学习、相伴旅行，在难得相聚的活动中，相互启发、交流沟通、建立友谊、探求合作，为短暂的学习生涯留下难忘的回忆。</w:t>
      </w:r>
    </w:p>
    <w:p>
      <w:pPr>
        <w:pStyle w:val="style0"/>
        <w:tabs>
          <w:tab w:val="left" w:leader="none" w:pos="720"/>
        </w:tabs>
        <w:spacing w:afterLines="50"/>
        <w:ind w:firstLine="420"/>
        <w:rPr>
          <w:rFonts w:ascii="微软雅黑" w:hAnsi="微软雅黑"/>
          <w:szCs w:val="21"/>
        </w:rPr>
      </w:pPr>
      <w:r>
        <w:rPr>
          <w:rFonts w:ascii="微软雅黑" w:hAnsi="微软雅黑" w:hint="eastAsia"/>
          <w:szCs w:val="21"/>
        </w:rPr>
        <w:t>除常规的移动课堂游学活动外，自2010年至今，BSN荷兰总校已7次组织BSN全球创新营活动，数百位中荷校友参加中欧互访，汇聚一堂，收获满满。</w:t>
      </w:r>
    </w:p>
    <w:tbl>
      <w:tblPr>
        <w:tblStyle w:val="style154"/>
        <w:tblW w:w="91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671"/>
      </w:tblGrid>
      <w:tr>
        <w:trPr>
          <w:jc w:val="center"/>
        </w:trPr>
        <w:tc>
          <w:tcPr>
            <w:tcW w:w="4503" w:type="dxa"/>
            <w:tcBorders>
              <w:right w:val="dashSmallGap" w:sz="4" w:space="0" w:color="ff6600"/>
            </w:tcBorders>
          </w:tcPr>
          <w:p>
            <w:pPr>
              <w:pStyle w:val="style0"/>
              <w:spacing w:afterLines="50" w:lineRule="atLeast" w:line="360"/>
              <w:ind w:firstLine="0" w:firstLineChars="0"/>
              <w:jc w:val="center"/>
              <w:rPr>
                <w:rFonts w:ascii="微软雅黑" w:hAnsi="微软雅黑"/>
                <w:sz w:val="20"/>
                <w:szCs w:val="20"/>
              </w:rPr>
            </w:pPr>
            <w:r>
              <w:rPr>
                <w:rFonts w:ascii="微软雅黑" w:hAnsi="微软雅黑"/>
                <w:noProof/>
                <w:sz w:val="20"/>
                <w:szCs w:val="20"/>
              </w:rPr>
              <w:drawing>
                <wp:inline distL="0" distT="0" distB="0" distR="0">
                  <wp:extent cx="2519045" cy="1521460"/>
                  <wp:effectExtent l="19050" t="0" r="0" b="0"/>
                  <wp:docPr id="1091"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43" cstate="print"/>
                          <a:srcRect l="0" t="0" r="0" b="0"/>
                          <a:stretch/>
                        </pic:blipFill>
                        <pic:spPr>
                          <a:xfrm rot="0">
                            <a:off x="0" y="0"/>
                            <a:ext cx="2519045" cy="1521460"/>
                          </a:xfrm>
                          <a:prstGeom prst="rect"/>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 xml:space="preserve"> </w:t>
            </w:r>
            <w:r>
              <w:rPr>
                <w:rFonts w:ascii="微软雅黑" w:hAnsi="微软雅黑"/>
                <w:sz w:val="18"/>
                <w:szCs w:val="18"/>
              </w:rPr>
              <w:t>2016</w:t>
            </w:r>
            <w:r>
              <w:rPr>
                <w:rFonts w:ascii="微软雅黑" w:hAnsi="微软雅黑" w:hint="eastAsia"/>
                <w:sz w:val="18"/>
                <w:szCs w:val="18"/>
              </w:rPr>
              <w:t>年9月，BJM15A班欧洲游学</w:t>
            </w:r>
          </w:p>
          <w:p>
            <w:pPr>
              <w:pStyle w:val="style0"/>
              <w:spacing w:after="0" w:lineRule="atLeast" w:line="100"/>
              <w:ind w:firstLine="0" w:firstLineChars="0"/>
              <w:jc w:val="center"/>
              <w:rPr>
                <w:rFonts w:ascii="微软雅黑" w:hAnsi="微软雅黑"/>
                <w:sz w:val="20"/>
                <w:szCs w:val="20"/>
              </w:rPr>
            </w:pPr>
            <w:r>
              <w:rPr>
                <w:rFonts w:ascii="微软雅黑" w:hAnsi="微软雅黑" w:hint="eastAsia"/>
                <w:sz w:val="18"/>
                <w:szCs w:val="18"/>
              </w:rPr>
              <w:t>欧洲11城之旅，寓学于行，追寻更丰满的灵魂</w:t>
            </w:r>
          </w:p>
        </w:tc>
        <w:tc>
          <w:tcPr>
            <w:tcW w:w="4671" w:type="dxa"/>
            <w:tcBorders>
              <w:left w:val="dashSmallGap" w:sz="4" w:space="0" w:color="ff6600"/>
            </w:tcBorders>
          </w:tcPr>
          <w:p>
            <w:pPr>
              <w:pStyle w:val="style0"/>
              <w:spacing w:afterLines="50" w:lineRule="atLeast" w:line="360"/>
              <w:ind w:left="130" w:hanging="130" w:hangingChars="72"/>
              <w:jc w:val="center"/>
              <w:rPr>
                <w:rFonts w:ascii="微软雅黑" w:hAnsi="微软雅黑"/>
                <w:sz w:val="18"/>
                <w:szCs w:val="18"/>
              </w:rPr>
            </w:pPr>
            <w:r>
              <w:rPr>
                <w:rFonts w:ascii="微软雅黑" w:hAnsi="微软雅黑"/>
                <w:noProof/>
                <w:sz w:val="18"/>
                <w:szCs w:val="18"/>
              </w:rPr>
              <w:drawing>
                <wp:inline distL="0" distT="0" distB="0" distR="0">
                  <wp:extent cx="3119120" cy="1521460"/>
                  <wp:effectExtent l="19050" t="0" r="5029" b="0"/>
                  <wp:docPr id="1092" name="图片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49"/>
                          <pic:cNvPicPr/>
                        </pic:nvPicPr>
                        <pic:blipFill>
                          <a:blip r:embed="rId44" cstate="print"/>
                          <a:srcRect l="0" t="0" r="0" b="0"/>
                          <a:stretch/>
                        </pic:blipFill>
                        <pic:spPr>
                          <a:xfrm rot="0">
                            <a:off x="0" y="0"/>
                            <a:ext cx="3119120" cy="1521460"/>
                          </a:xfrm>
                          <a:prstGeom prst="rect"/>
                          <a:ln>
                            <a:noFill/>
                          </a:ln>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 xml:space="preserve"> </w:t>
            </w:r>
            <w:r>
              <w:rPr>
                <w:rFonts w:ascii="微软雅黑" w:hAnsi="微软雅黑"/>
                <w:sz w:val="18"/>
                <w:szCs w:val="18"/>
              </w:rPr>
              <w:t>201</w:t>
            </w:r>
            <w:r>
              <w:rPr>
                <w:rFonts w:ascii="微软雅黑" w:hAnsi="微软雅黑" w:hint="eastAsia"/>
                <w:sz w:val="18"/>
                <w:szCs w:val="18"/>
              </w:rPr>
              <w:t>7年7月，BSN全球创新营中国站闭营式</w:t>
            </w:r>
          </w:p>
          <w:p>
            <w:pPr>
              <w:pStyle w:val="style0"/>
              <w:spacing w:after="0" w:lineRule="atLeast" w:line="100"/>
              <w:ind w:firstLine="0" w:firstLineChars="0"/>
              <w:jc w:val="center"/>
              <w:rPr>
                <w:rFonts w:ascii="微软雅黑" w:hAnsi="微软雅黑"/>
                <w:sz w:val="20"/>
                <w:szCs w:val="20"/>
              </w:rPr>
            </w:pPr>
            <w:r>
              <w:rPr>
                <w:rFonts w:ascii="微软雅黑" w:hAnsi="微软雅黑" w:hint="eastAsia"/>
                <w:sz w:val="18"/>
                <w:szCs w:val="18"/>
              </w:rPr>
              <w:t>依依惜别，友谊之船扬帆起航</w:t>
            </w:r>
          </w:p>
        </w:tc>
      </w:tr>
    </w:tbl>
    <w:p>
      <w:pPr>
        <w:pStyle w:val="style0"/>
        <w:ind w:firstLine="228" w:firstLineChars="95"/>
        <w:rPr>
          <w:rFonts w:ascii="Times New Roman" w:hAnsi="Times New Roman"/>
          <w:color w:val="ea4604"/>
          <w:kern w:val="2"/>
          <w:sz w:val="24"/>
          <w:szCs w:val="24"/>
          <w:u w:val="single"/>
        </w:rPr>
      </w:pPr>
    </w:p>
    <w:p>
      <w:pPr>
        <w:pStyle w:val="style3"/>
        <w:spacing w:before="120"/>
        <w:rPr/>
      </w:pPr>
      <w:r>
        <w:rPr/>
        <w:pict>
          <v:shape id="1093" type="#_x0000_t32" filled="f" style="position:absolute;margin-left:261.4pt;margin-top:16.4pt;width:224.55pt;height:0.0pt;z-index:24;mso-position-horizontal-relative:text;mso-position-vertical-relative:text;mso-width-relative:page;mso-height-relative:page;mso-wrap-distance-left:0.0pt;mso-wrap-distance-right:0.0pt;visibility:visible;flip:x;">
            <v:stroke dashstyle="1.0 1.0" endcap="round" color="#ff6600" weight="3.0pt"/>
            <v:fill/>
            <v:path o:connecttype="none" fillok="f" arrowok="t"/>
          </v:shape>
        </w:pict>
      </w:r>
      <w:r>
        <w:rPr>
          <w:rFonts w:hint="eastAsia"/>
        </w:rPr>
        <w:t>重要庆典</w:t>
      </w:r>
    </w:p>
    <w:p>
      <w:pPr>
        <w:pStyle w:val="style0"/>
        <w:spacing w:afterLines="50"/>
        <w:ind w:firstLine="420"/>
        <w:rPr>
          <w:rFonts w:ascii="微软雅黑" w:hAnsi="微软雅黑"/>
          <w:szCs w:val="21"/>
        </w:rPr>
      </w:pPr>
      <w:r>
        <w:rPr>
          <w:rFonts w:ascii="微软雅黑" w:hAnsi="微软雅黑"/>
          <w:szCs w:val="21"/>
        </w:rPr>
        <w:t>今年，此刻，它值得被浓墨重彩，它值得被亲临见证。在BSN荷兰商学院，开学典礼精心设计，既有来自老师</w:t>
      </w:r>
      <w:r>
        <w:rPr>
          <w:rFonts w:ascii="微软雅黑" w:hAnsi="微软雅黑" w:hint="eastAsia"/>
          <w:szCs w:val="21"/>
        </w:rPr>
        <w:t>、</w:t>
      </w:r>
      <w:r>
        <w:rPr>
          <w:rFonts w:ascii="微软雅黑" w:hAnsi="微软雅黑"/>
          <w:szCs w:val="21"/>
        </w:rPr>
        <w:t xml:space="preserve">师兄语重心长的谆谆告诫，也有同伴学友轻松诙谐的即兴发挥。学生自主赋予班名、选定班训，驰骋商界的各路精英重回课堂，沉淀心灵，期待着再一次的事业启航！ </w:t>
      </w:r>
    </w:p>
    <w:p>
      <w:pPr>
        <w:pStyle w:val="style0"/>
        <w:spacing w:afterLines="50"/>
        <w:ind w:firstLine="420"/>
        <w:rPr>
          <w:rFonts w:ascii="微软雅黑" w:hAnsi="微软雅黑"/>
          <w:szCs w:val="21"/>
        </w:rPr>
      </w:pPr>
      <w:r>
        <w:rPr>
          <w:rFonts w:ascii="微软雅黑" w:hAnsi="微软雅黑" w:hint="eastAsia"/>
          <w:szCs w:val="21"/>
        </w:rPr>
        <w:t>每年9月的第三个周六，来自全球11个学区的毕业生齐聚荷兰海牙，庆祝一年一度的BSN 荷兰商学院全球毕业典礼。</w:t>
      </w:r>
    </w:p>
    <w:p>
      <w:pPr>
        <w:pStyle w:val="style0"/>
        <w:spacing w:afterLines="50"/>
        <w:ind w:firstLine="420"/>
        <w:rPr>
          <w:rFonts w:ascii="微软雅黑" w:hAnsi="微软雅黑"/>
          <w:szCs w:val="21"/>
        </w:rPr>
      </w:pPr>
    </w:p>
    <w:tbl>
      <w:tblPr>
        <w:tblStyle w:val="style154"/>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671"/>
      </w:tblGrid>
      <w:tr>
        <w:trPr/>
        <w:tc>
          <w:tcPr>
            <w:tcW w:w="4503" w:type="dxa"/>
            <w:tcBorders>
              <w:right w:val="dashSmallGap" w:sz="4" w:space="0" w:color="ff6600"/>
            </w:tcBorders>
          </w:tcPr>
          <w:p>
            <w:pPr>
              <w:pStyle w:val="style0"/>
              <w:spacing w:afterLines="50" w:lineRule="atLeast" w:line="360"/>
              <w:ind w:firstLine="0" w:firstLineChars="0"/>
              <w:rPr>
                <w:rFonts w:ascii="微软雅黑" w:hAnsi="微软雅黑"/>
                <w:sz w:val="20"/>
                <w:szCs w:val="20"/>
              </w:rPr>
            </w:pPr>
            <w:r>
              <w:rPr>
                <w:rFonts w:ascii="微软雅黑" w:hAnsi="微软雅黑"/>
                <w:noProof/>
                <w:sz w:val="20"/>
                <w:szCs w:val="20"/>
              </w:rPr>
              <w:drawing>
                <wp:inline distL="0" distT="0" distB="0" distR="0">
                  <wp:extent cx="2650490" cy="1433195"/>
                  <wp:effectExtent l="19050" t="0" r="0" b="0"/>
                  <wp:docPr id="1094"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10"/>
                          <pic:cNvPicPr/>
                        </pic:nvPicPr>
                        <pic:blipFill>
                          <a:blip r:embed="rId45" cstate="print"/>
                          <a:srcRect l="0" t="0" r="0" b="0"/>
                          <a:stretch/>
                        </pic:blipFill>
                        <pic:spPr>
                          <a:xfrm rot="0">
                            <a:off x="0" y="0"/>
                            <a:ext cx="2650490" cy="1433195"/>
                          </a:xfrm>
                          <a:prstGeom prst="rect"/>
                          <a:ln>
                            <a:noFill/>
                          </a:ln>
                        </pic:spPr>
                      </pic:pic>
                    </a:graphicData>
                  </a:graphic>
                </wp:inline>
              </w:drawing>
            </w:r>
          </w:p>
          <w:p>
            <w:pPr>
              <w:pStyle w:val="style0"/>
              <w:spacing w:after="0" w:lineRule="atLeast" w:line="100"/>
              <w:ind w:firstLine="0" w:firstLineChars="0"/>
              <w:jc w:val="center"/>
              <w:rPr>
                <w:rFonts w:ascii="微软雅黑" w:hAnsi="微软雅黑"/>
                <w:sz w:val="18"/>
                <w:szCs w:val="18"/>
              </w:rPr>
            </w:pPr>
            <w:r>
              <w:rPr>
                <w:rFonts w:ascii="微软雅黑" w:hAnsi="微软雅黑"/>
                <w:sz w:val="18"/>
                <w:szCs w:val="18"/>
              </w:rPr>
              <w:t>△</w:t>
            </w:r>
            <w:r>
              <w:rPr>
                <w:rFonts w:ascii="微软雅黑" w:hAnsi="微软雅黑" w:hint="eastAsia"/>
                <w:sz w:val="18"/>
                <w:szCs w:val="18"/>
              </w:rPr>
              <w:t>2017年10月，荷兰海牙连续第八年</w:t>
            </w:r>
          </w:p>
          <w:p>
            <w:pPr>
              <w:pStyle w:val="style0"/>
              <w:spacing w:after="0" w:lineRule="atLeast" w:line="100"/>
              <w:ind w:firstLine="0" w:firstLineChars="0"/>
              <w:jc w:val="center"/>
              <w:rPr>
                <w:rFonts w:ascii="微软雅黑" w:hAnsi="微软雅黑"/>
                <w:sz w:val="20"/>
                <w:szCs w:val="20"/>
              </w:rPr>
            </w:pPr>
            <w:r>
              <w:rPr>
                <w:rFonts w:ascii="微软雅黑" w:hAnsi="微软雅黑" w:hint="eastAsia"/>
                <w:sz w:val="18"/>
                <w:szCs w:val="18"/>
              </w:rPr>
              <w:t>迎来亚洲学区毕业生参加的BSN全球</w:t>
            </w:r>
            <w:r>
              <w:rPr>
                <w:rFonts w:ascii="微软雅黑" w:hAnsi="微软雅黑"/>
                <w:sz w:val="18"/>
                <w:szCs w:val="18"/>
              </w:rPr>
              <w:t>毕业典礼</w:t>
            </w:r>
          </w:p>
        </w:tc>
        <w:tc>
          <w:tcPr>
            <w:tcW w:w="4671" w:type="dxa"/>
            <w:tcBorders>
              <w:left w:val="dashSmallGap" w:sz="4" w:space="0" w:color="ff6600"/>
            </w:tcBorders>
          </w:tcPr>
          <w:p>
            <w:pPr>
              <w:pStyle w:val="style0"/>
              <w:spacing w:afterLines="50" w:lineRule="atLeast" w:line="360"/>
              <w:ind w:firstLine="0" w:firstLineChars="0"/>
              <w:rPr>
                <w:rFonts w:ascii="微软雅黑" w:hAnsi="微软雅黑"/>
                <w:sz w:val="18"/>
                <w:szCs w:val="18"/>
              </w:rPr>
            </w:pPr>
            <w:r>
              <w:rPr>
                <w:rFonts w:ascii="微软雅黑" w:hAnsi="微软雅黑"/>
                <w:noProof/>
                <w:sz w:val="18"/>
                <w:szCs w:val="18"/>
              </w:rPr>
              <w:drawing>
                <wp:inline distL="0" distT="0" distB="0" distR="0">
                  <wp:extent cx="2983865" cy="1433195"/>
                  <wp:effectExtent l="19050" t="0" r="6527" b="0"/>
                  <wp:docPr id="1095" name="图片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图片 46"/>
                          <pic:cNvPicPr/>
                        </pic:nvPicPr>
                        <pic:blipFill>
                          <a:blip r:embed="rId46" cstate="print"/>
                          <a:srcRect l="0" t="0" r="0" b="0"/>
                          <a:stretch/>
                        </pic:blipFill>
                        <pic:spPr>
                          <a:xfrm rot="0">
                            <a:off x="0" y="0"/>
                            <a:ext cx="2983865" cy="1433195"/>
                          </a:xfrm>
                          <a:prstGeom prst="rect"/>
                          <a:ln>
                            <a:noFill/>
                          </a:ln>
                        </pic:spPr>
                      </pic:pic>
                    </a:graphicData>
                  </a:graphic>
                </wp:inline>
              </w:drawing>
            </w:r>
          </w:p>
          <w:p>
            <w:pPr>
              <w:pStyle w:val="style0"/>
              <w:spacing w:after="0" w:lineRule="atLeast" w:line="100"/>
              <w:ind w:firstLine="360"/>
              <w:jc w:val="center"/>
              <w:rPr>
                <w:rFonts w:ascii="微软雅黑" w:hAnsi="微软雅黑"/>
                <w:sz w:val="18"/>
                <w:szCs w:val="18"/>
              </w:rPr>
            </w:pPr>
            <w:r>
              <w:rPr>
                <w:rFonts w:ascii="微软雅黑" w:hAnsi="微软雅黑"/>
                <w:sz w:val="18"/>
                <w:szCs w:val="18"/>
              </w:rPr>
              <w:t>△201</w:t>
            </w:r>
            <w:r>
              <w:rPr>
                <w:rFonts w:ascii="微软雅黑" w:hAnsi="微软雅黑" w:hint="eastAsia"/>
                <w:sz w:val="18"/>
                <w:szCs w:val="18"/>
              </w:rPr>
              <w:t>7年6月，MBA新班开学典礼隆重举行</w:t>
            </w:r>
          </w:p>
          <w:p>
            <w:pPr>
              <w:pStyle w:val="style0"/>
              <w:spacing w:after="0" w:lineRule="atLeast" w:line="100"/>
              <w:ind w:firstLine="360"/>
              <w:jc w:val="center"/>
              <w:rPr>
                <w:rFonts w:ascii="微软雅黑" w:hAnsi="微软雅黑"/>
                <w:sz w:val="20"/>
                <w:szCs w:val="20"/>
              </w:rPr>
            </w:pPr>
            <w:r>
              <w:rPr>
                <w:rFonts w:ascii="微软雅黑" w:hAnsi="微软雅黑" w:hint="eastAsia"/>
                <w:sz w:val="18"/>
                <w:szCs w:val="18"/>
              </w:rPr>
              <w:t>中国北京，BSN行动学习之旅由此展开</w:t>
            </w:r>
          </w:p>
        </w:tc>
      </w:tr>
    </w:tbl>
    <w:p>
      <w:pPr>
        <w:pStyle w:val="style0"/>
        <w:ind w:firstLine="420"/>
        <w:rPr/>
      </w:pPr>
      <w:r>
        <w:br w:type="page"/>
      </w:r>
    </w:p>
    <w:p>
      <w:pPr>
        <w:pStyle w:val="style1"/>
        <w:spacing w:before="0"/>
        <w:ind w:left="992" w:hanging="992"/>
        <w:rPr/>
      </w:pPr>
      <w:r>
        <w:rPr/>
        <w:pict>
          <v:rect id="1096" stroked="t" style="position:absolute;margin-left:-39.1pt;margin-top:-35.1pt;width:527.25pt;height:773.85pt;z-index:-2147483607;mso-position-horizontal-relative:text;mso-position-vertical-relative:text;mso-width-relative:page;mso-height-relative:page;mso-wrap-distance-left:0.0pt;mso-wrap-distance-right:0.0pt;visibility:visible;">
            <v:stroke color="#ff6600" weight="2.25pt"/>
            <v:fill/>
          </v:rect>
        </w:pict>
      </w:r>
      <w:r>
        <w:rPr/>
        <w:pict>
          <v:rect id="1097" fillcolor="#8f8f8f" stroked="t" style="position:absolute;margin-left:-75.25pt;margin-top:-69.6pt;width:601.1pt;height:854.75pt;z-index:-2147483608;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rFonts w:hint="eastAsia"/>
        </w:rPr>
        <w:t>MBA学习体系</w:t>
      </w:r>
    </w:p>
    <w:p>
      <w:pPr>
        <w:pStyle w:val="style2"/>
        <w:spacing w:before="360"/>
        <w:rPr/>
      </w:pPr>
      <w:r>
        <w:rPr>
          <w:rFonts w:hint="eastAsia"/>
        </w:rPr>
        <w:t>体系设置</w:t>
      </w:r>
    </w:p>
    <w:p>
      <w:pPr>
        <w:pStyle w:val="style0"/>
        <w:ind w:firstLine="420"/>
        <w:rPr/>
      </w:pPr>
    </w:p>
    <w:tbl>
      <w:tblPr>
        <w:tblW w:w="9174" w:type="dxa"/>
        <w:tblLayout w:type="fixed"/>
        <w:tblLook w:val="04A0" w:firstRow="1" w:lastRow="0" w:firstColumn="1" w:lastColumn="0" w:noHBand="0" w:noVBand="1"/>
      </w:tblPr>
      <w:tblGrid>
        <w:gridCol w:w="1263"/>
        <w:gridCol w:w="1262"/>
        <w:gridCol w:w="2961"/>
        <w:gridCol w:w="1844"/>
        <w:gridCol w:w="1844"/>
      </w:tblGrid>
      <w:tr>
        <w:trPr>
          <w:trHeight w:val="559" w:hRule="atLeast"/>
        </w:trPr>
        <w:tc>
          <w:tcPr>
            <w:tcW w:w="2525" w:type="dxa"/>
            <w:gridSpan w:val="2"/>
            <w:tcBorders>
              <w:top w:val="single" w:sz="12" w:space="0" w:color="ff6600"/>
              <w:bottom w:val="single" w:sz="8" w:space="0" w:color="auto"/>
              <w:right w:val="single" w:sz="8"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bCs/>
                <w:sz w:val="28"/>
                <w:szCs w:val="28"/>
              </w:rPr>
            </w:pPr>
            <w:r>
              <w:rPr>
                <w:rFonts w:ascii="微软雅黑" w:cs="宋体" w:hAnsi="微软雅黑" w:hint="eastAsia"/>
                <w:b/>
                <w:bCs/>
                <w:sz w:val="28"/>
                <w:szCs w:val="28"/>
              </w:rPr>
              <w:t>教学阶段</w:t>
            </w:r>
          </w:p>
        </w:tc>
        <w:tc>
          <w:tcPr>
            <w:tcW w:w="6649" w:type="dxa"/>
            <w:gridSpan w:val="3"/>
            <w:tcBorders>
              <w:top w:val="single" w:sz="12" w:space="0" w:color="ff6600"/>
              <w:left w:val="single" w:sz="8" w:space="0" w:color="ff6600"/>
              <w:bottom w:val="single" w:sz="12"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bCs/>
                <w:sz w:val="28"/>
                <w:szCs w:val="28"/>
              </w:rPr>
            </w:pPr>
            <w:r>
              <w:rPr>
                <w:rFonts w:ascii="微软雅黑" w:cs="宋体" w:hAnsi="微软雅黑" w:hint="eastAsia"/>
                <w:b/>
                <w:bCs/>
                <w:sz w:val="28"/>
                <w:szCs w:val="28"/>
              </w:rPr>
              <w:t>课程安排</w:t>
            </w:r>
          </w:p>
        </w:tc>
      </w:tr>
      <w:tr>
        <w:tblPrEx/>
        <w:trPr>
          <w:trHeight w:val="439" w:hRule="atLeast"/>
        </w:trPr>
        <w:tc>
          <w:tcPr>
            <w:tcW w:w="1263" w:type="dxa"/>
            <w:tcBorders>
              <w:top w:val="single" w:sz="12" w:space="0" w:color="ff6600"/>
              <w:bottom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color w:val="000000"/>
                <w:szCs w:val="21"/>
              </w:rPr>
            </w:pPr>
            <w:r>
              <w:rPr>
                <w:rFonts w:ascii="微软雅黑" w:cs="宋体" w:hAnsi="微软雅黑" w:hint="eastAsia"/>
                <w:b/>
                <w:color w:val="000000"/>
                <w:szCs w:val="21"/>
              </w:rPr>
              <w:t>预科阶段</w:t>
            </w:r>
          </w:p>
        </w:tc>
        <w:tc>
          <w:tcPr>
            <w:tcW w:w="1262" w:type="dxa"/>
            <w:tcBorders>
              <w:top w:val="single" w:sz="12" w:space="0" w:color="ff6600"/>
              <w:left w:val="single" w:sz="8" w:space="0" w:color="ff6600"/>
              <w:bottom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color w:val="000000"/>
                <w:szCs w:val="21"/>
              </w:rPr>
            </w:pPr>
            <w:r>
              <w:rPr>
                <w:rFonts w:ascii="微软雅黑" w:cs="宋体" w:hAnsi="微软雅黑" w:hint="eastAsia"/>
                <w:b/>
                <w:color w:val="000000"/>
                <w:szCs w:val="21"/>
              </w:rPr>
              <w:t>　</w:t>
            </w:r>
          </w:p>
        </w:tc>
        <w:tc>
          <w:tcPr>
            <w:tcW w:w="6649" w:type="dxa"/>
            <w:gridSpan w:val="3"/>
            <w:tcBorders>
              <w:top w:val="single" w:sz="12" w:space="0" w:color="ff6600"/>
              <w:left w:val="single" w:sz="8" w:space="0" w:color="ff6600"/>
              <w:bottom w:val="nil"/>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b/>
                <w:color w:val="000000"/>
                <w:szCs w:val="21"/>
              </w:rPr>
              <w:t xml:space="preserve">自我及企业认知              </w:t>
            </w:r>
            <w:r>
              <w:rPr>
                <w:rFonts w:ascii="微软雅黑" w:cs="宋体" w:hAnsi="微软雅黑" w:hint="eastAsia"/>
                <w:color w:val="000000"/>
                <w:szCs w:val="21"/>
              </w:rPr>
              <w:t>线上课堂讨论</w:t>
            </w:r>
          </w:p>
        </w:tc>
      </w:tr>
      <w:tr>
        <w:tblPrEx/>
        <w:trPr>
          <w:trHeight w:val="439" w:hRule="atLeast"/>
        </w:trPr>
        <w:tc>
          <w:tcPr>
            <w:tcW w:w="1263" w:type="dxa"/>
            <w:vMerge w:val="restart"/>
            <w:tcBorders>
              <w:top w:val="single" w:sz="8" w:space="0" w:color="ff6600"/>
              <w:right w:val="single" w:sz="8" w:space="0" w:color="ff6600"/>
            </w:tcBorders>
            <w:shd w:val="clear" w:color="auto" w:fill="auto"/>
          </w:tcPr>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p>
          <w:p>
            <w:pPr>
              <w:pStyle w:val="style0"/>
              <w:adjustRightInd/>
              <w:snapToGrid/>
              <w:spacing w:after="0" w:lineRule="auto" w:line="240"/>
              <w:ind w:firstLine="0" w:firstLineChars="0"/>
              <w:jc w:val="center"/>
              <w:rPr>
                <w:rFonts w:ascii="微软雅黑" w:cs="宋体" w:hAnsi="微软雅黑"/>
                <w:b/>
                <w:color w:val="000000"/>
                <w:szCs w:val="21"/>
              </w:rPr>
            </w:pPr>
            <w:r>
              <w:rPr>
                <w:rFonts w:ascii="微软雅黑" w:cs="宋体" w:hAnsi="微软雅黑" w:hint="eastAsia"/>
                <w:b/>
                <w:color w:val="000000"/>
                <w:szCs w:val="21"/>
              </w:rPr>
              <w:t>学制阶段</w:t>
            </w:r>
          </w:p>
        </w:tc>
        <w:tc>
          <w:tcPr>
            <w:tcW w:w="1262" w:type="dxa"/>
            <w:vMerge w:val="restart"/>
            <w:tcBorders>
              <w:top w:val="single" w:sz="8" w:space="0" w:color="ff6600"/>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理论学习</w:t>
            </w:r>
          </w:p>
        </w:tc>
        <w:tc>
          <w:tcPr>
            <w:tcW w:w="2961" w:type="dxa"/>
            <w:vMerge w:val="restart"/>
            <w:tcBorders>
              <w:top w:val="single" w:sz="8" w:space="0" w:color="ff6600"/>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企业组织与人力资源模块</w:t>
            </w: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管理导论</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single" w:sz="8" w:space="0" w:color="auto"/>
              <w:left w:val="single" w:sz="8" w:space="0" w:color="ff6600"/>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人力资源管理</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restart"/>
            <w:tcBorders>
              <w:top w:val="single" w:sz="8" w:space="0" w:color="ff6600"/>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营销模块</w:t>
            </w: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营销管理基础</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营销模拟实战</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高级营销管理</w:t>
            </w:r>
          </w:p>
        </w:tc>
      </w:tr>
      <w:tr>
        <w:tblPrEx/>
        <w:trPr>
          <w:trHeight w:val="301"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restart"/>
            <w:tcBorders>
              <w:top w:val="single" w:sz="8" w:space="0" w:color="ff6600"/>
              <w:lef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运营模块</w:t>
            </w:r>
          </w:p>
        </w:tc>
        <w:tc>
          <w:tcPr>
            <w:tcW w:w="1844" w:type="dxa"/>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运营管理</w:t>
            </w:r>
          </w:p>
        </w:tc>
        <w:tc>
          <w:tcPr>
            <w:tcW w:w="1844" w:type="dxa"/>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p>
        </w:tc>
      </w:tr>
      <w:tr>
        <w:tblPrEx/>
        <w:trPr>
          <w:trHeight w:val="300"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lef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公司运营管理之企业案例分析</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lef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信息管理</w:t>
            </w:r>
          </w:p>
        </w:tc>
      </w:tr>
      <w:tr>
        <w:tblPrEx/>
        <w:trPr>
          <w:trHeight w:val="351"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lef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财务管理</w:t>
            </w:r>
          </w:p>
        </w:tc>
      </w:tr>
      <w:tr>
        <w:tblPrEx/>
        <w:trPr>
          <w:trHeight w:val="350"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lef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hint="eastAsia"/>
                <w:color w:val="000000"/>
                <w:szCs w:val="21"/>
              </w:rPr>
              <w:t>财务管理之企业案例分析</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left w:val="single" w:sz="8" w:space="0" w:color="ff6600"/>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国际管理</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restart"/>
            <w:tcBorders>
              <w:top w:val="single" w:sz="8" w:space="0" w:color="ff6600"/>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战略模块</w:t>
            </w: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战略管理基础</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战略模拟实战</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left w:val="single" w:sz="8" w:space="0" w:color="ff6600"/>
              <w:bottom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高级战略管理</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restart"/>
            <w:tcBorders>
              <w:top w:val="single" w:sz="8" w:space="0" w:color="ff6600"/>
              <w:left w:val="single" w:sz="8" w:space="0" w:color="ff6600"/>
              <w:bottom w:val="single" w:sz="4" w:space="0" w:color="auto"/>
              <w:right w:val="single" w:sz="8"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color w:val="000000"/>
                <w:szCs w:val="21"/>
              </w:rPr>
            </w:pPr>
            <w:r>
              <w:rPr>
                <w:rFonts w:ascii="微软雅黑" w:cs="宋体" w:hAnsi="微软雅黑" w:hint="eastAsia"/>
                <w:b/>
                <w:color w:val="000000"/>
                <w:szCs w:val="21"/>
              </w:rPr>
              <w:t>行动实践</w:t>
            </w:r>
          </w:p>
        </w:tc>
        <w:tc>
          <w:tcPr>
            <w:tcW w:w="2961" w:type="dxa"/>
            <w:vMerge w:val="restart"/>
            <w:tcBorders>
              <w:top w:val="single" w:sz="8" w:space="0" w:color="ff6600"/>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r>
              <w:rPr>
                <w:rFonts w:ascii="微软雅黑" w:cs="宋体" w:hAnsi="微软雅黑" w:hint="eastAsia"/>
                <w:b/>
                <w:color w:val="000000"/>
                <w:szCs w:val="21"/>
              </w:rPr>
              <w:t>行动学习实验室</w:t>
            </w: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小组学习+辅导·营销管理方向</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top w:val="nil"/>
              <w:left w:val="single" w:sz="8" w:space="0" w:color="ff6600"/>
              <w:bottom w:val="single" w:sz="4" w:space="0" w:color="auto"/>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小组学习+辅导·战略管理方向</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top w:val="nil"/>
              <w:left w:val="single" w:sz="8" w:space="0" w:color="ff6600"/>
              <w:bottom w:val="single" w:sz="4" w:space="0" w:color="auto"/>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4" w:space="0" w:color="auto"/>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小组学习+辅导·运营管理方向</w:t>
            </w:r>
          </w:p>
        </w:tc>
      </w:tr>
      <w:tr>
        <w:tblPrEx/>
        <w:trPr>
          <w:trHeight w:val="439" w:hRule="atLeast"/>
        </w:trPr>
        <w:tc>
          <w:tcPr>
            <w:tcW w:w="1263" w:type="dxa"/>
            <w:vMerge w:val="continue"/>
            <w:tcBorders>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vMerge w:val="continue"/>
            <w:tcBorders>
              <w:top w:val="nil"/>
              <w:left w:val="single" w:sz="8" w:space="0" w:color="ff6600"/>
              <w:bottom w:val="single" w:sz="8"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2961" w:type="dxa"/>
            <w:vMerge w:val="continue"/>
            <w:tcBorders>
              <w:top w:val="nil"/>
              <w:left w:val="single" w:sz="8" w:space="0" w:color="ff6600"/>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3688" w:type="dxa"/>
            <w:gridSpan w:val="2"/>
            <w:tcBorders>
              <w:top w:val="single" w:sz="8" w:space="0" w:color="ff6600"/>
              <w:left w:val="nil"/>
              <w:bottom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color w:val="000000"/>
                <w:szCs w:val="21"/>
              </w:rPr>
              <w:t>小组学习+辅导·人力资源管理方向</w:t>
            </w:r>
          </w:p>
        </w:tc>
      </w:tr>
      <w:tr>
        <w:tblPrEx/>
        <w:trPr>
          <w:trHeight w:val="439" w:hRule="atLeast"/>
        </w:trPr>
        <w:tc>
          <w:tcPr>
            <w:tcW w:w="1263" w:type="dxa"/>
            <w:vMerge w:val="continue"/>
            <w:tcBorders>
              <w:bottom w:val="single" w:sz="12" w:space="0" w:color="ff6600"/>
              <w:right w:val="single" w:sz="8"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b/>
                <w:color w:val="000000"/>
                <w:szCs w:val="21"/>
              </w:rPr>
            </w:pPr>
          </w:p>
        </w:tc>
        <w:tc>
          <w:tcPr>
            <w:tcW w:w="1262" w:type="dxa"/>
            <w:tcBorders>
              <w:top w:val="single" w:sz="8" w:space="0" w:color="ff6600"/>
              <w:left w:val="single" w:sz="8" w:space="0" w:color="ff6600"/>
              <w:bottom w:val="single" w:sz="12" w:space="0" w:color="ff6600"/>
              <w:right w:val="single" w:sz="8" w:space="0" w:color="ff6600"/>
            </w:tcBorders>
            <w:shd w:val="clear" w:color="auto" w:fill="auto"/>
            <w:vAlign w:val="center"/>
          </w:tcPr>
          <w:p>
            <w:pPr>
              <w:pStyle w:val="style0"/>
              <w:adjustRightInd/>
              <w:snapToGrid/>
              <w:spacing w:after="0" w:lineRule="auto" w:line="240"/>
              <w:ind w:firstLine="0" w:firstLineChars="0"/>
              <w:jc w:val="center"/>
              <w:rPr>
                <w:rFonts w:ascii="微软雅黑" w:cs="宋体" w:hAnsi="微软雅黑"/>
                <w:b/>
                <w:color w:val="000000"/>
                <w:szCs w:val="21"/>
              </w:rPr>
            </w:pPr>
            <w:r>
              <w:rPr>
                <w:rFonts w:ascii="微软雅黑" w:cs="宋体" w:hAnsi="微软雅黑" w:hint="eastAsia"/>
                <w:b/>
                <w:color w:val="000000"/>
                <w:szCs w:val="21"/>
              </w:rPr>
              <w:t>综合探究</w:t>
            </w:r>
          </w:p>
        </w:tc>
        <w:tc>
          <w:tcPr>
            <w:tcW w:w="6649" w:type="dxa"/>
            <w:gridSpan w:val="3"/>
            <w:tcBorders>
              <w:top w:val="single" w:sz="8" w:space="0" w:color="ff6600"/>
              <w:left w:val="single" w:sz="8" w:space="0" w:color="ff6600"/>
              <w:bottom w:val="single" w:sz="12" w:space="0" w:color="ff6600"/>
            </w:tcBorders>
            <w:shd w:val="clear" w:color="auto" w:fill="auto"/>
            <w:vAlign w:val="center"/>
          </w:tcPr>
          <w:p>
            <w:pPr>
              <w:pStyle w:val="style0"/>
              <w:adjustRightInd/>
              <w:snapToGrid/>
              <w:spacing w:after="0" w:lineRule="auto" w:line="240"/>
              <w:ind w:firstLine="0" w:firstLineChars="0"/>
              <w:rPr>
                <w:rFonts w:ascii="微软雅黑" w:cs="宋体" w:hAnsi="微软雅黑"/>
                <w:color w:val="000000"/>
                <w:szCs w:val="21"/>
              </w:rPr>
            </w:pPr>
            <w:r>
              <w:rPr>
                <w:rFonts w:ascii="微软雅黑" w:cs="宋体" w:hAnsi="微软雅黑" w:hint="eastAsia"/>
                <w:b/>
                <w:color w:val="000000"/>
                <w:szCs w:val="21"/>
              </w:rPr>
              <w:t xml:space="preserve">课题研究                    </w:t>
            </w:r>
            <w:r>
              <w:rPr>
                <w:rFonts w:ascii="微软雅黑" w:cs="宋体" w:hAnsi="微软雅黑" w:hint="eastAsia"/>
                <w:color w:val="000000"/>
                <w:szCs w:val="21"/>
              </w:rPr>
              <w:t>论文开题讲座、写作咨询及答辩</w:t>
            </w:r>
          </w:p>
        </w:tc>
      </w:tr>
    </w:tbl>
    <w:p>
      <w:pPr>
        <w:pStyle w:val="style0"/>
        <w:spacing w:afterLines="50" w:lineRule="atLeast" w:line="360"/>
        <w:ind w:firstLine="0" w:firstLineChars="0"/>
        <w:jc w:val="both"/>
        <w:rPr>
          <w:rFonts w:ascii="微软雅黑" w:hAnsi="微软雅黑"/>
          <w:sz w:val="20"/>
          <w:szCs w:val="20"/>
        </w:rPr>
        <w:sectPr>
          <w:headerReference w:type="even" r:id="rId47"/>
          <w:headerReference w:type="default" r:id="rId48"/>
          <w:footerReference w:type="even" r:id="rId49"/>
          <w:footerReference w:type="default" r:id="rId50"/>
          <w:headerReference w:type="first" r:id="rId51"/>
          <w:footerReference w:type="first" r:id="rId52"/>
          <w:type w:val="continuous"/>
          <w:pgSz w:w="11906" w:h="16838" w:orient="portrait"/>
          <w:pgMar w:top="1361" w:right="1474" w:bottom="1361" w:left="1474" w:header="567" w:footer="454" w:gutter="0"/>
          <w:cols w:space="720"/>
          <w:docGrid w:linePitch="360"/>
        </w:sectPr>
      </w:pPr>
    </w:p>
    <w:p>
      <w:pPr>
        <w:pStyle w:val="style0"/>
        <w:ind w:firstLineChars="111"/>
        <w:rPr>
          <w:sz w:val="18"/>
          <w:szCs w:val="18"/>
        </w:rPr>
        <w:sectPr>
          <w:headerReference w:type="even" r:id="rId53"/>
          <w:headerReference w:type="default" r:id="rId54"/>
          <w:footerReference w:type="even" r:id="rId55"/>
          <w:footerReference w:type="default" r:id="rId56"/>
          <w:headerReference w:type="first" r:id="rId57"/>
          <w:footerReference w:type="first" r:id="rId58"/>
          <w:type w:val="continuous"/>
          <w:pgSz w:w="11906" w:h="16838" w:orient="portrait"/>
          <w:pgMar w:top="1361" w:right="1474" w:bottom="1361" w:left="1474" w:header="567" w:footer="454" w:gutter="0"/>
          <w:cols w:space="720" w:num="2"/>
          <w:docGrid w:linePitch="360"/>
        </w:sectPr>
      </w:pPr>
    </w:p>
    <w:p>
      <w:pPr>
        <w:pStyle w:val="style0"/>
        <w:spacing w:afterLines="50"/>
        <w:ind w:firstLine="420"/>
        <w:rPr>
          <w:rFonts w:ascii="微软雅黑" w:hAnsi="微软雅黑"/>
          <w:b/>
          <w:szCs w:val="21"/>
        </w:rPr>
      </w:pPr>
      <w:r>
        <w:rPr>
          <w:rFonts w:ascii="微软雅黑" w:hAnsi="微软雅黑" w:hint="eastAsia"/>
          <w:b/>
          <w:szCs w:val="21"/>
        </w:rPr>
        <w:t>说明：</w:t>
      </w:r>
    </w:p>
    <w:p>
      <w:pPr>
        <w:pStyle w:val="style179"/>
        <w:numPr>
          <w:ilvl w:val="0"/>
          <w:numId w:val="8"/>
        </w:numPr>
        <w:rPr/>
      </w:pPr>
      <w:r>
        <w:t>预科阶段是指从学生入学到正式开学的时间。</w:t>
      </w:r>
    </w:p>
    <w:p>
      <w:pPr>
        <w:pStyle w:val="style179"/>
        <w:numPr>
          <w:ilvl w:val="0"/>
          <w:numId w:val="8"/>
        </w:numPr>
        <w:rPr/>
      </w:pPr>
      <w:r>
        <w:t>学制阶段从正式开学开始，不少于</w:t>
      </w:r>
      <w:r>
        <w:t>24</w:t>
      </w:r>
      <w:r>
        <w:t>个月。分为理论学习、行动实践与综合探究三个环节，其中理论学习与行动实践不少于</w:t>
      </w:r>
      <w:r>
        <w:t>18</w:t>
      </w:r>
      <w:r>
        <w:t>个月，综合探究不少于</w:t>
      </w:r>
      <w:r>
        <w:t>6</w:t>
      </w:r>
      <w:r>
        <w:t>个月。</w:t>
      </w:r>
    </w:p>
    <w:p>
      <w:pPr>
        <w:pStyle w:val="style179"/>
        <w:numPr>
          <w:ilvl w:val="0"/>
          <w:numId w:val="0"/>
        </w:numPr>
        <w:ind w:left="840"/>
        <w:rPr/>
      </w:pPr>
    </w:p>
    <w:p>
      <w:pPr>
        <w:pStyle w:val="style179"/>
        <w:numPr>
          <w:ilvl w:val="0"/>
          <w:numId w:val="8"/>
        </w:numPr>
        <w:rPr>
          <w:rFonts w:ascii="微软雅黑" w:hAnsi="微软雅黑"/>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orient="portrait"/>
          <w:pgMar w:top="1361" w:right="1474" w:bottom="1361" w:left="1474" w:header="567" w:footer="454" w:gutter="0"/>
          <w:cols w:space="0"/>
          <w:docGrid w:linePitch="360"/>
        </w:sectPr>
      </w:pPr>
    </w:p>
    <w:p>
      <w:pPr>
        <w:pStyle w:val="style0"/>
        <w:adjustRightInd/>
        <w:snapToGrid/>
        <w:spacing w:after="0"/>
        <w:ind w:right="3994" w:rightChars="1902" w:firstLine="0" w:firstLineChars="0"/>
        <w:rPr/>
        <w:sectPr>
          <w:type w:val="continuous"/>
          <w:pgSz w:w="11906" w:h="16838" w:orient="portrait"/>
          <w:pgMar w:top="1361" w:right="1474" w:bottom="1361" w:left="1474" w:header="567" w:footer="454" w:gutter="0"/>
          <w:cols w:space="720"/>
          <w:docGrid w:linePitch="360"/>
        </w:sectPr>
      </w:pPr>
    </w:p>
    <w:p>
      <w:pPr>
        <w:pStyle w:val="style2"/>
        <w:spacing w:before="360"/>
        <w:rPr/>
      </w:pPr>
      <w:r>
        <w:rPr/>
        <w:pict>
          <v:rect id="1098" stroked="t" style="position:absolute;margin-left:-41.1pt;margin-top:-35.2pt;width:527.25pt;height:773.85pt;z-index:-2147483609;mso-position-horizontal-relative:text;mso-position-vertical-relative:text;mso-width-relative:page;mso-height-relative:page;mso-wrap-distance-left:0.0pt;mso-wrap-distance-right:0.0pt;visibility:visible;">
            <v:stroke color="#ff6600" weight="2.25pt"/>
            <v:fill/>
          </v:rect>
        </w:pict>
      </w:r>
      <w:r>
        <w:rPr/>
        <w:pict>
          <v:rect id="1099" fillcolor="#8f8f8f" stroked="t" style="position:absolute;margin-left:-76.2pt;margin-top:-69.7pt;width:601.1pt;height:854.75pt;z-index:-2147483610;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rFonts w:hint="eastAsia"/>
        </w:rPr>
        <w:t>MBA</w:t>
      </w:r>
      <w:r>
        <w:rPr>
          <w:rFonts w:hint="eastAsia"/>
        </w:rPr>
        <w:t>课程说明</w:t>
      </w:r>
    </w:p>
    <w:p>
      <w:pPr>
        <w:pStyle w:val="style0"/>
        <w:adjustRightInd/>
        <w:snapToGrid/>
        <w:spacing w:after="0"/>
        <w:ind w:firstLine="0" w:firstLineChars="0"/>
        <w:rPr>
          <w:rFonts w:ascii="微软雅黑" w:hAnsi="微软雅黑"/>
        </w:rPr>
      </w:pPr>
      <w:r>
        <w:rPr>
          <w:rFonts w:ascii="微软雅黑" w:hAnsi="微软雅黑"/>
        </w:rPr>
        <w:t>·</w:t>
      </w:r>
    </w:p>
    <w:tbl>
      <w:tblPr>
        <w:tblStyle w:val="style154"/>
        <w:tblW w:w="8758" w:type="dxa"/>
        <w:jc w:val="center"/>
        <w:tblLayout w:type="fixed"/>
        <w:tblLook w:val="04A0" w:firstRow="1" w:lastRow="0" w:firstColumn="1" w:lastColumn="0" w:noHBand="0" w:noVBand="1"/>
      </w:tblPr>
      <w:tblGrid>
        <w:gridCol w:w="2802"/>
        <w:gridCol w:w="3118"/>
        <w:gridCol w:w="2838"/>
      </w:tblGrid>
      <w:tr>
        <w:trPr>
          <w:jc w:val="center"/>
        </w:trPr>
        <w:tc>
          <w:tcPr>
            <w:tcW w:w="2802" w:type="dxa"/>
            <w:tcBorders>
              <w:top w:val="nil"/>
              <w:left w:val="single" w:sz="4" w:space="0" w:color="ffffff"/>
            </w:tcBorders>
          </w:tcPr>
          <w:p>
            <w:pPr>
              <w:pStyle w:val="style0"/>
              <w:spacing w:before="60" w:after="60" w:lineRule="exact" w:line="180"/>
              <w:ind w:right="180" w:firstLine="15" w:firstLineChars="10"/>
              <w:rPr>
                <w:rFonts w:ascii="宋体" w:cs="宋体" w:eastAsia="宋体" w:hAnsi="宋体"/>
                <w:b/>
                <w:sz w:val="15"/>
                <w:szCs w:val="15"/>
              </w:rPr>
            </w:pPr>
            <w:r>
              <w:rPr>
                <w:rFonts w:ascii="宋体" w:cs="宋体" w:eastAsia="宋体" w:hAnsi="宋体" w:hint="eastAsia"/>
                <w:b/>
                <w:sz w:val="15"/>
                <w:szCs w:val="15"/>
              </w:rPr>
              <w:t>M1企业组织与人力资源管理模块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101管理导论之现代组织演进与管理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现代管理新理念；现代组织效能提升方法；驭人之道；统领千军的学问；人才机制的优化</w:t>
            </w:r>
          </w:p>
          <w:p>
            <w:pPr>
              <w:pStyle w:val="style0"/>
              <w:spacing w:before="60" w:after="60" w:lineRule="exact" w:line="180"/>
              <w:ind w:left="459" w:right="180" w:hanging="459" w:hangingChars="305"/>
              <w:rPr>
                <w:rFonts w:ascii="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培养适应商业环境的管理视角；厘清解决组织管理症结的思路；熟悉修正管理制度和政策的创新工具；掌握提升企业运营效率的技能</w:t>
            </w:r>
          </w:p>
        </w:tc>
      </w:tr>
      <w:tr>
        <w:tblPrEx/>
        <w:trPr>
          <w:trHeight w:val="77" w:hRule="atLeast"/>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right="180" w:firstLine="0" w:firstLineChars="0"/>
              <w:rPr>
                <w:rFonts w:ascii="宋体" w:cs="宋体" w:eastAsia="宋体" w:hAnsi="宋体"/>
                <w:sz w:val="10"/>
                <w:szCs w:val="10"/>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M1企业组织与人力资源管理模块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102战略性人力资源管理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管理者胜任力模型；管理者脑图结构；岗位的胜任力标准；人职匹配原则与方法；员工激励方法；企业文化与员工塑造</w:t>
            </w:r>
          </w:p>
          <w:p>
            <w:pPr>
              <w:pStyle w:val="style0"/>
              <w:spacing w:before="60" w:after="60" w:lineRule="exact" w:line="180"/>
              <w:ind w:left="459" w:right="180" w:hanging="459" w:hangingChars="305"/>
              <w:rPr>
                <w:rFonts w:ascii="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掌握符合企业人力战略的选人用人关键技术；理解胜任力模型与结构；熟悉人才甄选与鉴别技术；习得企业激励员工的要领</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M2 营销模块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201营销管理基础</w:t>
            </w:r>
          </w:p>
        </w:tc>
        <w:tc>
          <w:tcPr>
            <w:tcW w:w="2838" w:type="dxa"/>
            <w:tcBorders>
              <w:top w:val="nil"/>
              <w:right w:val="single" w:sz="4" w:space="0" w:color="ffffff"/>
            </w:tcBorders>
          </w:tcPr>
          <w:p>
            <w:pPr>
              <w:pStyle w:val="style0"/>
              <w:spacing w:before="60" w:after="60" w:lineRule="exact" w:line="180"/>
              <w:ind w:left="1" w:leftChars="-2" w:right="180" w:hanging="5" w:hangingChars="3"/>
              <w:jc w:val="center"/>
              <w:rPr>
                <w:rFonts w:ascii="宋体" w:cs="宋体" w:eastAsia="宋体" w:hAnsi="宋体"/>
                <w:b/>
                <w:sz w:val="15"/>
                <w:szCs w:val="15"/>
              </w:rPr>
            </w:pPr>
            <w:r>
              <w:rPr>
                <w:rFonts w:ascii="宋体" w:cs="宋体" w:eastAsia="宋体" w:hAnsi="宋体" w:hint="eastAsia"/>
                <w:b/>
                <w:sz w:val="15"/>
                <w:szCs w:val="15"/>
              </w:rPr>
              <w:t>理论讲授、案例剖析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sz w:val="15"/>
                <w:szCs w:val="15"/>
              </w:rPr>
              <w:t>营销管理基本定义、概念和逻辑；解决营销问题的基本工具和方法；通过案例分析来巩固所学知识、发展所需技能</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形成营销战略及营销管理的思维框架；掌握营销管理的重要理论及运作规律；熟悉实效的营销战略及战略实施方法，直接应用于营销计划书的撰写，提升企业经营管理绩效</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M2营销模块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202营销管理实战</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模拟实战、动态分析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营销管理基本理论巩固；营销分析工具的实际应用；营销策略的制订与实施；营销策略的修正</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sz w:val="15"/>
                <w:szCs w:val="15"/>
              </w:rPr>
              <w:t>在“0”风险的模拟商业环境中，建立营销管理的战略性思维</w:t>
            </w:r>
            <w:r>
              <w:rPr>
                <w:rFonts w:ascii="宋体" w:cs="宋体" w:eastAsia="宋体" w:hAnsi="宋体" w:hint="eastAsia"/>
                <w:sz w:val="15"/>
                <w:szCs w:val="15"/>
              </w:rPr>
              <w:t>；</w:t>
            </w:r>
            <w:r>
              <w:rPr>
                <w:rFonts w:ascii="宋体" w:cs="宋体" w:eastAsia="宋体" w:hAnsi="宋体"/>
                <w:sz w:val="15"/>
                <w:szCs w:val="15"/>
              </w:rPr>
              <w:t>提高制定营销战略和策略的能力</w:t>
            </w:r>
            <w:r>
              <w:rPr>
                <w:rFonts w:ascii="宋体" w:cs="宋体" w:eastAsia="宋体" w:hAnsi="宋体" w:hint="eastAsia"/>
                <w:sz w:val="15"/>
                <w:szCs w:val="15"/>
              </w:rPr>
              <w:t>；</w:t>
            </w:r>
            <w:r>
              <w:rPr>
                <w:rFonts w:ascii="宋体" w:cs="宋体" w:eastAsia="宋体" w:hAnsi="宋体"/>
                <w:sz w:val="15"/>
                <w:szCs w:val="15"/>
              </w:rPr>
              <w:t>掌握营销管理的决策流程及关键环节</w:t>
            </w:r>
            <w:r>
              <w:rPr>
                <w:rFonts w:ascii="宋体" w:cs="宋体" w:eastAsia="宋体" w:hAnsi="宋体" w:hint="eastAsia"/>
                <w:sz w:val="15"/>
                <w:szCs w:val="15"/>
              </w:rPr>
              <w:t>；</w:t>
            </w:r>
            <w:r>
              <w:rPr>
                <w:rFonts w:ascii="宋体" w:cs="宋体" w:eastAsia="宋体" w:hAnsi="宋体"/>
                <w:sz w:val="15"/>
                <w:szCs w:val="15"/>
              </w:rPr>
              <w:t>提升战略营销问题的分析技能和决策技能</w:t>
            </w:r>
            <w:r>
              <w:rPr>
                <w:rFonts w:ascii="宋体" w:cs="宋体" w:eastAsia="宋体" w:hAnsi="宋体" w:hint="eastAsia"/>
                <w:sz w:val="15"/>
                <w:szCs w:val="15"/>
              </w:rPr>
              <w:t>；</w:t>
            </w:r>
            <w:r>
              <w:rPr>
                <w:rFonts w:ascii="宋体" w:cs="宋体" w:eastAsia="宋体" w:hAnsi="宋体"/>
                <w:sz w:val="15"/>
                <w:szCs w:val="15"/>
              </w:rPr>
              <w:t>树立现代营销管理理念</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M2营销模块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203高级营销管理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全案例教学、小组讨论</w:t>
            </w:r>
          </w:p>
        </w:tc>
      </w:tr>
      <w:tr>
        <w:tblPrEx/>
        <w:trPr>
          <w:jc w:val="center"/>
        </w:trPr>
        <w:tc>
          <w:tcPr>
            <w:tcW w:w="8758" w:type="dxa"/>
            <w:gridSpan w:val="3"/>
            <w:tcBorders>
              <w:left w:val="single" w:sz="4" w:space="0" w:color="ffffff"/>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b/>
                <w:sz w:val="15"/>
                <w:szCs w:val="15"/>
              </w:rPr>
              <w:t>内容：</w:t>
            </w:r>
            <w:r>
              <w:rPr>
                <w:rFonts w:ascii="宋体" w:cs="宋体" w:eastAsia="宋体" w:hAnsi="宋体"/>
                <w:sz w:val="15"/>
                <w:szCs w:val="15"/>
              </w:rPr>
              <w:t>涉及最热门的营销管理主题</w:t>
            </w:r>
            <w:r>
              <w:rPr>
                <w:rFonts w:ascii="宋体" w:cs="宋体" w:eastAsia="宋体" w:hAnsi="宋体" w:hint="eastAsia"/>
                <w:sz w:val="15"/>
                <w:szCs w:val="15"/>
              </w:rPr>
              <w:t>：</w:t>
            </w:r>
            <w:r>
              <w:rPr>
                <w:rFonts w:ascii="宋体" w:cs="宋体" w:eastAsia="宋体" w:hAnsi="宋体"/>
                <w:sz w:val="15"/>
                <w:szCs w:val="15"/>
              </w:rPr>
              <w:t>企业如何理解顾客价值；如何进行商业模式创新；如何收获价值；如何进行数字化整合营销；如何实现服务创新</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b/>
                <w:sz w:val="15"/>
                <w:szCs w:val="15"/>
              </w:rPr>
              <w:t>收获：</w:t>
            </w:r>
            <w:r>
              <w:rPr>
                <w:rFonts w:ascii="宋体" w:cs="宋体" w:eastAsia="宋体" w:hAnsi="宋体"/>
                <w:sz w:val="15"/>
                <w:szCs w:val="15"/>
              </w:rPr>
              <w:t>理解企业经营及商业运作的本质；培养敏锐商业嗅觉和商业案例分析能力；强化战略及营销管理思维模式；练就看穿商业运作本质的慧眼；实现商业分析能力的有效提升</w:t>
            </w:r>
          </w:p>
        </w:tc>
      </w:tr>
      <w:tr>
        <w:tblPrEx/>
        <w:trPr>
          <w:trHeight w:val="206" w:hRule="atLeast"/>
          <w:jc w:val="center"/>
        </w:trPr>
        <w:tc>
          <w:tcPr>
            <w:tcW w:w="8758" w:type="dxa"/>
            <w:gridSpan w:val="3"/>
            <w:tcBorders>
              <w:top w:val="single" w:sz="12" w:space="0" w:color="auto"/>
              <w:left w:val="single" w:sz="4" w:space="0" w:color="ffffff"/>
              <w:bottom w:val="nil"/>
              <w:right w:val="single" w:sz="4" w:space="0" w:color="ffffff"/>
            </w:tcBorders>
          </w:tcPr>
          <w:p>
            <w:pPr>
              <w:pStyle w:val="style0"/>
              <w:ind w:left="180" w:right="180" w:firstLine="300"/>
              <w:rPr>
                <w:rFonts w:ascii="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M3运营模块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301运营管理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运营管理的基本概念、前沿动态及其与其他管理职能的相互关系；运作战略、选址、设施布置、库存和供应链、计划、新产品开发决策及精益生产的基本原理和方法</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系统了解企业运作涉及的环节和核心内容；熟悉提升企业效率和增值能力的原理、方法；掌握卓越运营与持续改进的思想；提高应用相关原理、方法、技术和分析工具解决实际运作问题的能力</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M3运营模块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302大数据时代的信息管理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理论讲授、创新应用分析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新兴技术：新技术发展规律、联网+解读、新技术创新应用；经营模式：新商业法则、电子商务基本要素、新模式实践；应对策略：IT发展带来的机遇、新时代的挑战和对策、大数据时代的管理理念；企业信息系统构建企业竞争理念：IT（信息技术）的能力、信息系统提升竞争力、关于工业4.0的解读</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把握大环境，洞悉IT新挑战；了解工业4.0、物联网等带来企业机遇，理清新形势下商业模式变革思路；掌握企业流程再造关键；把握IT最新动向和使之变现为经济利益；有效利用现代信息系统，建立企业可持续的竞争优势</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M3运营模块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303财务分析与经营决策</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理论讲授、案例剖析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讲述资产负债表、利润表、现金流量表的基本概念及财务分析的主要方法；传授财务报表分析所需的基本技能；提升阅读和理解会计报表所需的专业能力；利用财务分析结论指导企业决策</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能够扎实、系统地掌握财务报表基础理论；掌握管理者常用有效的财务分析方法；领悟不同的会计政策对企业财务状况和经营成果的影响</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bl>
    <w:p>
      <w:pPr>
        <w:pStyle w:val="style0"/>
        <w:ind w:firstLine="420"/>
        <w:rPr/>
      </w:pPr>
      <w:r>
        <w:br w:type="page"/>
      </w:r>
    </w:p>
    <w:tbl>
      <w:tblPr>
        <w:tblStyle w:val="style154"/>
        <w:tblW w:w="8758" w:type="dxa"/>
        <w:jc w:val="center"/>
        <w:tblLayout w:type="fixed"/>
        <w:tblLook w:val="04A0" w:firstRow="1" w:lastRow="0" w:firstColumn="1" w:lastColumn="0" w:noHBand="0" w:noVBand="1"/>
      </w:tblPr>
      <w:tblGrid>
        <w:gridCol w:w="2802"/>
        <w:gridCol w:w="3118"/>
        <w:gridCol w:w="2838"/>
      </w:tblGrid>
      <w:tr>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b/>
                <w:sz w:val="15"/>
                <w:szCs w:val="15"/>
              </w:rPr>
              <w:pict>
                <v:rect id="1100" fillcolor="#8f8f8f" stroked="t" style="position:absolute;margin-left:-85.2pt;margin-top:-68.2pt;width:601.1pt;height:854.75pt;z-index:-2147483591;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rFonts w:ascii="宋体" w:cs="宋体" w:eastAsia="宋体" w:hAnsi="宋体"/>
                <w:b/>
                <w:sz w:val="15"/>
                <w:szCs w:val="15"/>
              </w:rPr>
              <w:pict>
                <v:rect id="1101" stroked="t" style="position:absolute;margin-left:-50.1pt;margin-top:-33.7pt;width:527.25pt;height:773.85pt;z-index:-2147483590;mso-position-horizontal-relative:text;mso-position-vertical-relative:text;mso-width-relative:page;mso-height-relative:page;mso-wrap-distance-left:0.0pt;mso-wrap-distance-right:0.0pt;visibility:visible;">
                  <v:stroke color="#ff6600" weight="2.25pt"/>
                  <v:fill/>
                </v:rect>
              </w:pict>
            </w:r>
            <w:r>
              <w:rPr>
                <w:rFonts w:ascii="宋体" w:cs="宋体" w:eastAsia="宋体" w:hAnsi="宋体" w:hint="eastAsia"/>
                <w:b/>
                <w:sz w:val="15"/>
                <w:szCs w:val="15"/>
              </w:rPr>
              <w:t>M3运营模块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304国际管理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理论讲授、案例剖析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国家吸引力分析；国际市场各种进入模式利弊讨论；国际市场进入策略制定； 管理方案的客制化与标准化选择；各国市场战略细节实施</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建立对不同政治、文化的认知意识；建立在复杂政经环境中选择最适合国家市场的能力；学会鉴别营销活动客制化和标准化实施的条件；了解跨国战略的制定和实施过程；熟悉科学管理跨国业务的流程</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M4战略模块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401战略管理基础</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理论讲授、实践研讨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战略管理的基本理论和研究方法。包括行业环境分析：评估宏观经济对行业影响的力度，了解行业发展的现状，分析行业发展趋势；竞争分析：跟踪竞争对手的战略定位及修正，了解企业面临的机会和挑战；企业内部分析：公司近期业绩分析（包括财务、生产、营销等），明确企业优势劣势；业务战略选择和定位：确定业务战略，明确竞争领域和手段；战略实施：协调各管理职能，制定针对公司业务战略定位的决策</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sz w:val="15"/>
                <w:szCs w:val="15"/>
              </w:rPr>
              <w:t>建立战略管理的基本理论框架；掌握战略管理的研究工具及方法</w:t>
            </w:r>
            <w:r>
              <w:rPr>
                <w:rFonts w:ascii="宋体" w:cs="宋体" w:eastAsia="宋体" w:hAnsi="宋体" w:hint="eastAsia"/>
                <w:sz w:val="15"/>
                <w:szCs w:val="15"/>
              </w:rPr>
              <w:t>；理解企业战略管理的决策重点；鉴别企业战略实施中存在的现实问题</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M4战略模块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402战略管理实战</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模拟实战、动态分析</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b/>
                <w:sz w:val="15"/>
                <w:szCs w:val="15"/>
              </w:rPr>
              <w:t>内容：</w:t>
            </w:r>
            <w:r>
              <w:rPr>
                <w:rFonts w:ascii="宋体" w:cs="宋体" w:eastAsia="宋体" w:hAnsi="宋体" w:hint="eastAsia"/>
                <w:sz w:val="15"/>
                <w:szCs w:val="15"/>
              </w:rPr>
              <w:t>巩固战略管理基本理论；使用战略管理相关工具；制定协调统一的各职能部门战略实施方案；依照行业运行模拟结果，对比战略目标，矫正各部门实施策略</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树立战略选择建立在数据分析基础之上的科学管理理念；掌握企业内外部分析工具的关键使用方法；理解各部门协调合作对企业战略目标的达成具有的重要意义；了解各管理职能部门在战略实施环节的各项工作内容、指导思想；</w:t>
            </w:r>
            <w:r>
              <w:rPr>
                <w:rFonts w:ascii="宋体" w:cs="宋体" w:eastAsia="宋体" w:hAnsi="宋体"/>
                <w:sz w:val="15"/>
                <w:szCs w:val="15"/>
              </w:rPr>
              <w:t>培养拥有全局视野的战略高管</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M4战略模块</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403高级战略管理</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全案例教学、小组讨论</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内容：</w:t>
            </w:r>
            <w:r>
              <w:rPr>
                <w:rFonts w:ascii="宋体" w:cs="宋体" w:eastAsia="宋体" w:hAnsi="宋体" w:hint="eastAsia"/>
                <w:sz w:val="15"/>
                <w:szCs w:val="15"/>
              </w:rPr>
              <w:t>以中外经典与现代的多起企业战略案例串联成主线，解读战略制定过程中关键问题：战略性竞争优势；所在产业竞争态势与趋势；选择竞争区域并构筑竞争壁垒；客户偏好的变迁与响应能力；满足客户偏好配置产品线；如何应对战略行动引起的竞争对手的反应，合理制定企业短、中、长期的全面发展；如何合理配置资源，确保战略实施；战略实施管理</w:t>
            </w:r>
          </w:p>
          <w:p>
            <w:pPr>
              <w:pStyle w:val="style0"/>
              <w:spacing w:before="60" w:after="60" w:lineRule="exact" w:line="180"/>
              <w:ind w:left="459" w:right="180" w:hanging="459" w:hangingChars="305"/>
              <w:rPr>
                <w:rFonts w:ascii="宋体" w:cs="宋体" w:eastAsia="宋体" w:hAnsi="宋体"/>
                <w:sz w:val="15"/>
                <w:szCs w:val="15"/>
              </w:rPr>
            </w:pPr>
            <w:r>
              <w:rPr>
                <w:rFonts w:ascii="宋体" w:cs="宋体" w:eastAsia="宋体" w:hAnsi="宋体" w:hint="eastAsia"/>
                <w:b/>
                <w:sz w:val="15"/>
                <w:szCs w:val="15"/>
              </w:rPr>
              <w:t>收获：</w:t>
            </w:r>
            <w:r>
              <w:rPr>
                <w:rFonts w:ascii="宋体" w:cs="宋体" w:eastAsia="宋体" w:hAnsi="宋体" w:hint="eastAsia"/>
                <w:sz w:val="15"/>
                <w:szCs w:val="15"/>
              </w:rPr>
              <w:t>学会把握经济</w:t>
            </w:r>
            <w:r>
              <w:rPr>
                <w:rFonts w:ascii="宋体" w:cs="宋体" w:eastAsia="宋体" w:hAnsi="宋体"/>
                <w:sz w:val="15"/>
                <w:szCs w:val="15"/>
              </w:rPr>
              <w:t>“</w:t>
            </w:r>
            <w:r>
              <w:rPr>
                <w:rFonts w:ascii="宋体" w:cs="宋体" w:eastAsia="宋体" w:hAnsi="宋体" w:hint="eastAsia"/>
                <w:sz w:val="15"/>
                <w:szCs w:val="15"/>
              </w:rPr>
              <w:t>新常态</w:t>
            </w:r>
            <w:r>
              <w:rPr>
                <w:rFonts w:ascii="宋体" w:cs="宋体" w:eastAsia="宋体" w:hAnsi="宋体"/>
                <w:sz w:val="15"/>
                <w:szCs w:val="15"/>
              </w:rPr>
              <w:t>”</w:t>
            </w:r>
            <w:r>
              <w:rPr>
                <w:rFonts w:ascii="宋体" w:cs="宋体" w:eastAsia="宋体" w:hAnsi="宋体" w:hint="eastAsia"/>
                <w:sz w:val="15"/>
                <w:szCs w:val="15"/>
              </w:rPr>
              <w:t>下企业发展的机遇与挑战，系统规划企业中长期发展战略；提升企业综合管控能力，洞悉商业模式创新，提升变革时期的卓越领导力</w:t>
            </w:r>
          </w:p>
        </w:tc>
      </w:tr>
      <w:tr>
        <w:tblPrEx/>
        <w:trPr>
          <w:jc w:val="center"/>
        </w:trPr>
        <w:tc>
          <w:tcPr>
            <w:tcW w:w="8758" w:type="dxa"/>
            <w:gridSpan w:val="3"/>
            <w:tcBorders>
              <w:top w:val="single" w:sz="12" w:space="0" w:color="auto"/>
              <w:left w:val="single" w:sz="4" w:space="0" w:color="ffffff"/>
              <w:bottom w:val="nil"/>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top w:val="nil"/>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M5行动学习实验室</w:t>
            </w:r>
          </w:p>
        </w:tc>
        <w:tc>
          <w:tcPr>
            <w:tcW w:w="3118" w:type="dxa"/>
            <w:tcBorders>
              <w:top w:val="nil"/>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501营销管理实验室</w:t>
            </w:r>
          </w:p>
        </w:tc>
        <w:tc>
          <w:tcPr>
            <w:tcW w:w="2838" w:type="dxa"/>
            <w:tcBorders>
              <w:top w:val="nil"/>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小组讨论、实践研讨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right="-39" w:firstLine="358" w:firstLineChars="239"/>
              <w:rPr>
                <w:rFonts w:ascii="宋体" w:cs="宋体" w:eastAsia="宋体" w:hAnsi="宋体"/>
                <w:sz w:val="15"/>
                <w:szCs w:val="15"/>
              </w:rPr>
            </w:pPr>
            <w:r>
              <w:rPr>
                <w:rFonts w:ascii="宋体" w:cs="宋体" w:eastAsia="宋体" w:hAnsi="宋体" w:hint="eastAsia"/>
                <w:sz w:val="15"/>
                <w:szCs w:val="15"/>
              </w:rPr>
              <w:t>营销理论学习完成后，在老师的带领和指导下，以小组形式启动营销管理咨询项目，利用</w:t>
            </w:r>
            <w:r>
              <w:rPr>
                <w:rFonts w:ascii="宋体" w:cs="宋体" w:eastAsia="宋体" w:hAnsi="宋体"/>
                <w:sz w:val="15"/>
                <w:szCs w:val="15"/>
              </w:rPr>
              <w:t>3</w:t>
            </w:r>
            <w:r>
              <w:rPr>
                <w:rFonts w:ascii="宋体" w:cs="宋体" w:eastAsia="宋体" w:hAnsi="宋体" w:hint="eastAsia"/>
                <w:sz w:val="15"/>
                <w:szCs w:val="15"/>
              </w:rPr>
              <w:t>至</w:t>
            </w:r>
            <w:r>
              <w:rPr>
                <w:rFonts w:ascii="宋体" w:cs="宋体" w:eastAsia="宋体" w:hAnsi="宋体"/>
                <w:sz w:val="15"/>
                <w:szCs w:val="15"/>
              </w:rPr>
              <w:t>4</w:t>
            </w:r>
            <w:r>
              <w:rPr>
                <w:rFonts w:ascii="宋体" w:cs="宋体" w:eastAsia="宋体" w:hAnsi="宋体" w:hint="eastAsia"/>
                <w:sz w:val="15"/>
                <w:szCs w:val="15"/>
              </w:rPr>
              <w:t>个月的时间，形成咨询团队构建、咨询企业问题方向确定、理论和企业调研结论、整改方案形成等几个行动学习成果，完成目标客户定位、销售渠道重建、推广策略矫正、营销策略调整等与企业营销管理相关的咨询项目任务。</w:t>
            </w:r>
            <w:r>
              <w:rPr>
                <w:rFonts w:ascii="宋体" w:cs="宋体" w:eastAsia="宋体" w:hAnsi="宋体"/>
                <w:sz w:val="15"/>
                <w:szCs w:val="15"/>
              </w:rPr>
              <w:t xml:space="preserve"> </w:t>
            </w:r>
          </w:p>
        </w:tc>
      </w:tr>
      <w:tr>
        <w:tblPrEx/>
        <w:trPr>
          <w:jc w:val="center"/>
        </w:trPr>
        <w:tc>
          <w:tcPr>
            <w:tcW w:w="8758" w:type="dxa"/>
            <w:gridSpan w:val="3"/>
            <w:tcBorders>
              <w:top w:val="single" w:sz="12" w:space="0" w:color="auto"/>
              <w:left w:val="single" w:sz="4" w:space="0" w:color="ffffff"/>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M5行动学习实验室</w:t>
            </w:r>
          </w:p>
        </w:tc>
        <w:tc>
          <w:tcPr>
            <w:tcW w:w="3118" w:type="dxa"/>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502运营管理实验室</w:t>
            </w:r>
          </w:p>
        </w:tc>
        <w:tc>
          <w:tcPr>
            <w:tcW w:w="2838" w:type="dxa"/>
            <w:tcBorders>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小组讨论、实践研讨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right="-39" w:firstLine="358" w:firstLineChars="239"/>
              <w:rPr>
                <w:rFonts w:ascii="宋体" w:cs="宋体" w:eastAsia="宋体" w:hAnsi="宋体"/>
                <w:sz w:val="15"/>
                <w:szCs w:val="15"/>
              </w:rPr>
            </w:pPr>
            <w:r>
              <w:rPr>
                <w:rFonts w:ascii="宋体" w:cs="宋体" w:eastAsia="宋体" w:hAnsi="宋体" w:hint="eastAsia"/>
                <w:sz w:val="15"/>
                <w:szCs w:val="15"/>
              </w:rPr>
              <w:t>完成运营管理、信息管理、财务管理和国际管理的理论学习后，在老师的带领和指导下，以小组形式启动咨询项目，利用</w:t>
            </w:r>
            <w:r>
              <w:rPr>
                <w:rFonts w:ascii="宋体" w:cs="宋体" w:eastAsia="宋体" w:hAnsi="宋体"/>
                <w:sz w:val="15"/>
                <w:szCs w:val="15"/>
              </w:rPr>
              <w:t>3</w:t>
            </w:r>
            <w:r>
              <w:rPr>
                <w:rFonts w:ascii="宋体" w:cs="宋体" w:eastAsia="宋体" w:hAnsi="宋体" w:hint="eastAsia"/>
                <w:sz w:val="15"/>
                <w:szCs w:val="15"/>
              </w:rPr>
              <w:t>至</w:t>
            </w:r>
            <w:r>
              <w:rPr>
                <w:rFonts w:ascii="宋体" w:cs="宋体" w:eastAsia="宋体" w:hAnsi="宋体"/>
                <w:sz w:val="15"/>
                <w:szCs w:val="15"/>
              </w:rPr>
              <w:t>4</w:t>
            </w:r>
            <w:r>
              <w:rPr>
                <w:rFonts w:ascii="宋体" w:cs="宋体" w:eastAsia="宋体" w:hAnsi="宋体" w:hint="eastAsia"/>
                <w:sz w:val="15"/>
                <w:szCs w:val="15"/>
              </w:rPr>
              <w:t>个月的时间，形成咨询团队构建、咨询企业问题方向确定、理论和企业调研结论、整改方案形成等几个行动学习成果，完成与企业信息系统重建、大数据下的客户管理调整、国际市场拓展计划制定、物流系统改制等于企业运营管理相关的咨询项目任务。</w:t>
            </w:r>
          </w:p>
        </w:tc>
      </w:tr>
      <w:tr>
        <w:tblPrEx/>
        <w:trPr>
          <w:jc w:val="center"/>
        </w:trPr>
        <w:tc>
          <w:tcPr>
            <w:tcW w:w="8758" w:type="dxa"/>
            <w:gridSpan w:val="3"/>
            <w:tcBorders>
              <w:top w:val="single" w:sz="12" w:space="0" w:color="auto"/>
              <w:left w:val="single" w:sz="4" w:space="0" w:color="ffffff"/>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M5行动学习实验室</w:t>
            </w:r>
          </w:p>
        </w:tc>
        <w:tc>
          <w:tcPr>
            <w:tcW w:w="3118" w:type="dxa"/>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503人力资源管理实验室</w:t>
            </w:r>
          </w:p>
        </w:tc>
        <w:tc>
          <w:tcPr>
            <w:tcW w:w="2838" w:type="dxa"/>
            <w:tcBorders>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小组讨论、实践研讨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right="-39" w:firstLine="358" w:firstLineChars="239"/>
              <w:rPr>
                <w:rFonts w:ascii="宋体" w:cs="宋体" w:eastAsia="宋体" w:hAnsi="宋体"/>
                <w:sz w:val="15"/>
                <w:szCs w:val="15"/>
              </w:rPr>
            </w:pPr>
            <w:r>
              <w:rPr>
                <w:rFonts w:ascii="宋体" w:cs="宋体" w:eastAsia="宋体" w:hAnsi="宋体" w:hint="eastAsia"/>
                <w:sz w:val="15"/>
                <w:szCs w:val="15"/>
              </w:rPr>
              <w:t>完成管理导论与人力资源管理的理论完成后，在老师的带领和指导下，以小组形式启动咨询项目，利用</w:t>
            </w:r>
            <w:r>
              <w:rPr>
                <w:rFonts w:ascii="宋体" w:cs="宋体" w:eastAsia="宋体" w:hAnsi="宋体"/>
                <w:sz w:val="15"/>
                <w:szCs w:val="15"/>
              </w:rPr>
              <w:t>3</w:t>
            </w:r>
            <w:r>
              <w:rPr>
                <w:rFonts w:ascii="宋体" w:cs="宋体" w:eastAsia="宋体" w:hAnsi="宋体" w:hint="eastAsia"/>
                <w:sz w:val="15"/>
                <w:szCs w:val="15"/>
              </w:rPr>
              <w:t>至</w:t>
            </w:r>
            <w:r>
              <w:rPr>
                <w:rFonts w:ascii="宋体" w:cs="宋体" w:eastAsia="宋体" w:hAnsi="宋体"/>
                <w:sz w:val="15"/>
                <w:szCs w:val="15"/>
              </w:rPr>
              <w:t>4</w:t>
            </w:r>
            <w:r>
              <w:rPr>
                <w:rFonts w:ascii="宋体" w:cs="宋体" w:eastAsia="宋体" w:hAnsi="宋体" w:hint="eastAsia"/>
                <w:sz w:val="15"/>
                <w:szCs w:val="15"/>
              </w:rPr>
              <w:t>个月的时间，形成咨询团队构建、咨询企业问题方向确定、理论和企业调研结论、整改方案形成等几个行动学习成果，完成企业人才战略调整、薪酬福利体系改革、激励机制重建等与企业人力资源管理相关的咨询项目任务。</w:t>
            </w:r>
          </w:p>
        </w:tc>
      </w:tr>
      <w:tr>
        <w:tblPrEx/>
        <w:trPr>
          <w:jc w:val="center"/>
        </w:trPr>
        <w:tc>
          <w:tcPr>
            <w:tcW w:w="8758" w:type="dxa"/>
            <w:gridSpan w:val="3"/>
            <w:tcBorders>
              <w:top w:val="single" w:sz="12" w:space="0" w:color="auto"/>
              <w:left w:val="single" w:sz="4" w:space="0" w:color="ffffff"/>
              <w:right w:val="single" w:sz="4" w:space="0" w:color="ffffff"/>
            </w:tcBorders>
          </w:tcPr>
          <w:p>
            <w:pPr>
              <w:pStyle w:val="style0"/>
              <w:spacing w:before="60" w:after="60" w:lineRule="exact" w:line="180"/>
              <w:ind w:left="180" w:right="180" w:firstLine="300"/>
              <w:rPr>
                <w:rFonts w:ascii="宋体" w:cs="宋体" w:eastAsia="宋体" w:hAnsi="宋体"/>
                <w:sz w:val="15"/>
                <w:szCs w:val="15"/>
              </w:rPr>
            </w:pPr>
          </w:p>
        </w:tc>
      </w:tr>
      <w:tr>
        <w:tblPrEx/>
        <w:trPr>
          <w:jc w:val="center"/>
        </w:trPr>
        <w:tc>
          <w:tcPr>
            <w:tcW w:w="2802" w:type="dxa"/>
            <w:tcBorders>
              <w:left w:val="single" w:sz="4" w:space="0" w:color="ffffff"/>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M5行动学习实验室</w:t>
            </w:r>
          </w:p>
        </w:tc>
        <w:tc>
          <w:tcPr>
            <w:tcW w:w="3118" w:type="dxa"/>
            <w:tcBorders/>
          </w:tcPr>
          <w:p>
            <w:pPr>
              <w:pStyle w:val="style0"/>
              <w:spacing w:before="60" w:after="60" w:lineRule="exact" w:line="180"/>
              <w:ind w:left="1" w:leftChars="-2" w:right="180" w:hanging="5" w:hangingChars="3"/>
              <w:rPr>
                <w:rFonts w:ascii="宋体" w:cs="宋体" w:eastAsia="宋体" w:hAnsi="宋体"/>
                <w:b/>
                <w:sz w:val="15"/>
                <w:szCs w:val="15"/>
              </w:rPr>
            </w:pPr>
            <w:r>
              <w:rPr>
                <w:rFonts w:ascii="宋体" w:cs="宋体" w:eastAsia="宋体" w:hAnsi="宋体" w:hint="eastAsia"/>
                <w:b/>
                <w:sz w:val="15"/>
                <w:szCs w:val="15"/>
              </w:rPr>
              <w:t>504战略管理实验室</w:t>
            </w:r>
          </w:p>
        </w:tc>
        <w:tc>
          <w:tcPr>
            <w:tcW w:w="2838" w:type="dxa"/>
            <w:tcBorders>
              <w:right w:val="single" w:sz="4" w:space="0" w:color="ffffff"/>
            </w:tcBorders>
          </w:tcPr>
          <w:p>
            <w:pPr>
              <w:pStyle w:val="style0"/>
              <w:spacing w:before="60" w:after="60" w:lineRule="exact" w:line="180"/>
              <w:ind w:left="180" w:right="180" w:firstLine="301"/>
              <w:rPr>
                <w:rFonts w:ascii="宋体" w:cs="宋体" w:eastAsia="宋体" w:hAnsi="宋体"/>
                <w:b/>
                <w:sz w:val="15"/>
                <w:szCs w:val="15"/>
              </w:rPr>
            </w:pPr>
            <w:r>
              <w:rPr>
                <w:rFonts w:ascii="宋体" w:cs="宋体" w:eastAsia="宋体" w:hAnsi="宋体" w:hint="eastAsia"/>
                <w:b/>
                <w:sz w:val="15"/>
                <w:szCs w:val="15"/>
              </w:rPr>
              <w:t>小组讨论、实践研讨</w:t>
            </w:r>
          </w:p>
        </w:tc>
      </w:tr>
      <w:tr>
        <w:tblPrEx/>
        <w:trPr>
          <w:jc w:val="center"/>
        </w:trPr>
        <w:tc>
          <w:tcPr>
            <w:tcW w:w="8758" w:type="dxa"/>
            <w:gridSpan w:val="3"/>
            <w:tcBorders>
              <w:left w:val="single" w:sz="4" w:space="0" w:color="ffffff"/>
              <w:bottom w:val="single" w:sz="12" w:space="0" w:color="auto"/>
              <w:right w:val="single" w:sz="4" w:space="0" w:color="ffffff"/>
            </w:tcBorders>
          </w:tcPr>
          <w:p>
            <w:pPr>
              <w:pStyle w:val="style0"/>
              <w:spacing w:before="60" w:after="60" w:lineRule="exact" w:line="180"/>
              <w:ind w:right="-39" w:firstLine="358" w:firstLineChars="239"/>
              <w:rPr>
                <w:rFonts w:ascii="宋体" w:cs="宋体" w:eastAsia="宋体" w:hAnsi="宋体"/>
                <w:sz w:val="15"/>
                <w:szCs w:val="15"/>
              </w:rPr>
            </w:pPr>
            <w:r>
              <w:rPr>
                <w:rFonts w:ascii="宋体" w:cs="宋体" w:eastAsia="宋体" w:hAnsi="宋体" w:hint="eastAsia"/>
                <w:sz w:val="15"/>
                <w:szCs w:val="15"/>
              </w:rPr>
              <w:t>战略管理理论学习完成后，在老师的带领和指导下，以小组形式启动咨询项目，利用</w:t>
            </w:r>
            <w:r>
              <w:rPr>
                <w:rFonts w:ascii="宋体" w:cs="宋体" w:eastAsia="宋体" w:hAnsi="宋体"/>
                <w:sz w:val="15"/>
                <w:szCs w:val="15"/>
              </w:rPr>
              <w:t>3</w:t>
            </w:r>
            <w:r>
              <w:rPr>
                <w:rFonts w:ascii="宋体" w:cs="宋体" w:eastAsia="宋体" w:hAnsi="宋体" w:hint="eastAsia"/>
                <w:sz w:val="15"/>
                <w:szCs w:val="15"/>
              </w:rPr>
              <w:t>至</w:t>
            </w:r>
            <w:r>
              <w:rPr>
                <w:rFonts w:ascii="宋体" w:cs="宋体" w:eastAsia="宋体" w:hAnsi="宋体"/>
                <w:sz w:val="15"/>
                <w:szCs w:val="15"/>
              </w:rPr>
              <w:t>4</w:t>
            </w:r>
            <w:r>
              <w:rPr>
                <w:rFonts w:ascii="宋体" w:cs="宋体" w:eastAsia="宋体" w:hAnsi="宋体" w:hint="eastAsia"/>
                <w:sz w:val="15"/>
                <w:szCs w:val="15"/>
              </w:rPr>
              <w:t>个月的时间，形成咨询团队构建、咨询企业问题方向确定、理论和企业调研结论、整改方案形成等几个行动学习成果，完成企业战略选择确认、战略实施调整等与企业战略管理相关的咨询项目任务。</w:t>
            </w:r>
          </w:p>
        </w:tc>
      </w:tr>
    </w:tbl>
    <w:p>
      <w:pPr>
        <w:pStyle w:val="style0"/>
        <w:adjustRightInd/>
        <w:snapToGrid/>
        <w:spacing w:after="0"/>
        <w:ind w:firstLine="0" w:firstLineChars="0"/>
        <w:rPr>
          <w:rFonts w:ascii="微软雅黑" w:hAnsi="微软雅黑"/>
        </w:rPr>
      </w:pPr>
    </w:p>
    <w:p>
      <w:pPr>
        <w:pStyle w:val="style0"/>
        <w:adjustRightInd/>
        <w:snapToGrid/>
        <w:spacing w:after="0"/>
        <w:ind w:firstLine="0" w:firstLineChars="0"/>
        <w:rPr>
          <w:rFonts w:ascii="微软雅黑" w:hAnsi="微软雅黑"/>
          <w:b/>
          <w:bCs/>
          <w:color w:val="ff6600"/>
          <w:kern w:val="44"/>
          <w:sz w:val="52"/>
          <w:szCs w:val="21"/>
        </w:rPr>
      </w:pPr>
      <w:r>
        <w:br w:type="page"/>
      </w:r>
      <w:r>
        <w:rPr>
          <w:rFonts w:ascii="微软雅黑" w:hAnsi="微软雅黑"/>
        </w:rPr>
        <w:t>·</w:t>
      </w:r>
    </w:p>
    <w:p>
      <w:pPr>
        <w:pStyle w:val="style1"/>
        <w:spacing w:before="0"/>
        <w:ind w:left="992" w:hanging="992"/>
        <w:rPr/>
      </w:pPr>
      <w:r>
        <w:rPr/>
        <w:pict>
          <v:rect id="1102" fillcolor="#8f8f8f" stroked="t" style="position:absolute;margin-left:-74.7pt;margin-top:-84.7pt;width:601.1pt;height:854.75pt;z-index:-2147483595;mso-position-horizontal-relative:text;mso-position-vertical-relative:text;mso-width-relative:page;mso-height-relative:page;mso-wrap-distance-left:0.0pt;mso-wrap-distance-right:0.0pt;visibility:visible;">
            <v:stroke color="#f79646" weight="1.0pt"/>
            <v:fill/>
            <v:shadow on="t" color="#4c2404" offset="1.0pt," offset2="-2.0pt,-2.0pt"/>
          </v:rect>
        </w:pict>
      </w:r>
      <w:r>
        <w:rPr/>
        <w:pict>
          <v:rect id="1103" stroked="t" style="position:absolute;margin-left:-39.6pt;margin-top:-50.2pt;width:527.25pt;height:773.85pt;z-index:-2147483594;mso-position-horizontal-relative:text;mso-position-vertical-relative:text;mso-width-relative:page;mso-height-relative:page;mso-wrap-distance-left:0.0pt;mso-wrap-distance-right:0.0pt;visibility:visible;">
            <v:stroke color="#ff6600" weight="2.25pt"/>
            <v:fill/>
          </v:rect>
        </w:pict>
      </w:r>
      <w:r>
        <w:rPr>
          <w:rFonts w:hint="eastAsia"/>
        </w:rPr>
        <w:t>MBA申请须知</w:t>
      </w:r>
    </w:p>
    <w:p>
      <w:pPr>
        <w:pStyle w:val="style0"/>
        <w:ind w:leftChars="-135" w:hanging="283" w:hangingChars="135"/>
        <w:jc w:val="center"/>
        <w:rPr/>
      </w:pPr>
      <w:r>
        <w:rPr>
          <w:noProof/>
        </w:rPr>
        <w:drawing>
          <wp:anchor distT="0" distB="0" distL="0" distR="0" simplePos="false" relativeHeight="6" behindDoc="false" locked="false" layoutInCell="true" allowOverlap="true">
            <wp:simplePos x="0" y="0"/>
            <wp:positionH relativeFrom="column">
              <wp:posOffset>92710</wp:posOffset>
            </wp:positionH>
            <wp:positionV relativeFrom="paragraph">
              <wp:posOffset>40640</wp:posOffset>
            </wp:positionV>
            <wp:extent cx="5549265" cy="1023620"/>
            <wp:effectExtent l="19050" t="0" r="0" b="0"/>
            <wp:wrapNone/>
            <wp:docPr id="1104"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图片 23"/>
                    <pic:cNvPicPr/>
                  </pic:nvPicPr>
                  <pic:blipFill>
                    <a:blip r:embed="rId65" cstate="print"/>
                    <a:srcRect l="0" t="0" r="0" b="0"/>
                    <a:stretch/>
                  </pic:blipFill>
                  <pic:spPr>
                    <a:xfrm rot="0">
                      <a:off x="0" y="0"/>
                      <a:ext cx="5549265" cy="1023620"/>
                    </a:xfrm>
                    <a:prstGeom prst="rect"/>
                    <a:ln>
                      <a:noFill/>
                    </a:ln>
                  </pic:spPr>
                </pic:pic>
              </a:graphicData>
            </a:graphic>
          </wp:anchor>
        </w:drawing>
      </w:r>
    </w:p>
    <w:p>
      <w:pPr>
        <w:pStyle w:val="style0"/>
        <w:ind w:leftChars="-135" w:hanging="283" w:hangingChars="135"/>
        <w:jc w:val="center"/>
        <w:rPr/>
      </w:pPr>
    </w:p>
    <w:p>
      <w:pPr>
        <w:pStyle w:val="style0"/>
        <w:ind w:leftChars="-135" w:hanging="283" w:hangingChars="135"/>
        <w:jc w:val="center"/>
        <w:rPr/>
      </w:pPr>
    </w:p>
    <w:p>
      <w:pPr>
        <w:pStyle w:val="style0"/>
        <w:ind w:leftChars="-135" w:hanging="283" w:hangingChars="135"/>
        <w:jc w:val="center"/>
        <w:rPr/>
      </w:pPr>
    </w:p>
    <w:p>
      <w:pPr>
        <w:pStyle w:val="style0"/>
        <w:ind w:leftChars="-135" w:hanging="283" w:hangingChars="135"/>
        <w:jc w:val="center"/>
        <w:rPr/>
      </w:pPr>
    </w:p>
    <w:p>
      <w:pPr>
        <w:pStyle w:val="style0"/>
        <w:ind w:leftChars="-135" w:hanging="283" w:hangingChars="135"/>
        <w:jc w:val="center"/>
        <w:rPr/>
      </w:pPr>
    </w:p>
    <w:bookmarkStart w:id="1" w:name="_Toc468873247"/>
    <w:bookmarkStart w:id="2" w:name="_Toc468873269"/>
    <w:tbl>
      <w:tblPr>
        <w:tblStyle w:val="style154"/>
        <w:tblW w:w="9180" w:type="dxa"/>
        <w:tblLayout w:type="fixed"/>
        <w:tblLook w:val="04A0" w:firstRow="1" w:lastRow="0" w:firstColumn="1" w:lastColumn="0" w:noHBand="0" w:noVBand="1"/>
      </w:tblPr>
      <w:tblGrid>
        <w:gridCol w:w="4786"/>
        <w:gridCol w:w="4394"/>
      </w:tblGrid>
      <w:tr>
        <w:trPr/>
        <w:tc>
          <w:tcPr>
            <w:tcW w:w="4786" w:type="dxa"/>
            <w:tcBorders>
              <w:top w:val="nil"/>
              <w:left w:val="nil"/>
              <w:bottom w:val="nil"/>
              <w:right w:val="single" w:sz="4" w:space="0" w:color="ff6600"/>
            </w:tcBorders>
          </w:tcPr>
          <w:p>
            <w:pPr>
              <w:pStyle w:val="style2"/>
              <w:spacing w:before="360"/>
              <w:outlineLvl w:val="1"/>
              <w:rPr/>
            </w:pPr>
            <w:r>
              <w:rPr>
                <w:rFonts w:hint="eastAsia"/>
              </w:rPr>
              <w:t>申请条件</w:t>
            </w:r>
          </w:p>
          <w:p>
            <w:pPr>
              <w:pStyle w:val="style179"/>
              <w:numPr>
                <w:ilvl w:val="0"/>
                <w:numId w:val="9"/>
              </w:numPr>
              <w:spacing w:lineRule="exact" w:line="280"/>
              <w:ind w:left="284" w:hanging="284"/>
              <w:rPr>
                <w:sz w:val="20"/>
              </w:rPr>
            </w:pPr>
            <w:r>
              <w:rPr>
                <w:rFonts w:hint="eastAsia"/>
                <w:sz w:val="20"/>
              </w:rPr>
              <w:t>教育背景：大专及以上学历。管理业绩特别突出的申请人，可适当放宽学历要求</w:t>
            </w:r>
          </w:p>
          <w:p>
            <w:pPr>
              <w:pStyle w:val="style179"/>
              <w:numPr>
                <w:ilvl w:val="0"/>
                <w:numId w:val="9"/>
              </w:numPr>
              <w:spacing w:lineRule="exact" w:line="280"/>
              <w:ind w:left="284" w:hanging="284"/>
              <w:rPr>
                <w:sz w:val="20"/>
              </w:rPr>
            </w:pPr>
            <w:r>
              <w:rPr>
                <w:rFonts w:ascii="微软雅黑" w:hAnsi="微软雅黑" w:hint="eastAsia"/>
                <w:sz w:val="20"/>
              </w:rPr>
              <w:t>工作</w:t>
            </w:r>
            <w:r>
              <w:rPr>
                <w:rFonts w:hint="eastAsia"/>
                <w:sz w:val="20"/>
              </w:rPr>
              <w:t>经验：三年以上管理经验</w:t>
            </w:r>
          </w:p>
          <w:p>
            <w:pPr>
              <w:pStyle w:val="style179"/>
              <w:numPr>
                <w:ilvl w:val="0"/>
                <w:numId w:val="9"/>
              </w:numPr>
              <w:spacing w:lineRule="exact" w:line="280"/>
              <w:ind w:left="284" w:hanging="284"/>
              <w:rPr>
                <w:sz w:val="20"/>
              </w:rPr>
            </w:pPr>
            <w:r>
              <w:rPr>
                <w:rFonts w:hint="eastAsia"/>
                <w:sz w:val="20"/>
              </w:rPr>
              <w:t>参加过</w:t>
            </w:r>
            <w:r>
              <w:rPr>
                <w:sz w:val="20"/>
              </w:rPr>
              <w:t>MBA</w:t>
            </w:r>
            <w:r>
              <w:rPr>
                <w:rFonts w:hint="eastAsia"/>
                <w:sz w:val="20"/>
              </w:rPr>
              <w:t>、</w:t>
            </w:r>
            <w:r>
              <w:rPr>
                <w:sz w:val="20"/>
              </w:rPr>
              <w:t>EMBA</w:t>
            </w:r>
            <w:r>
              <w:rPr>
                <w:rFonts w:hint="eastAsia"/>
                <w:sz w:val="20"/>
              </w:rPr>
              <w:t>研修课程学习的申请人将优先录取</w:t>
            </w:r>
          </w:p>
          <w:bookmarkStart w:id="3" w:name="_Toc468873248"/>
          <w:bookmarkStart w:id="4" w:name="_Toc468873270"/>
          <w:p>
            <w:pPr>
              <w:pStyle w:val="style2"/>
              <w:spacing w:before="360"/>
              <w:outlineLvl w:val="1"/>
              <w:rPr/>
            </w:pPr>
            <w:r>
              <w:rPr>
                <w:rFonts w:hint="eastAsia"/>
              </w:rPr>
              <w:t>申请资料</w:t>
            </w:r>
            <w:bookmarkEnd w:id="3"/>
            <w:bookmarkEnd w:id="4"/>
          </w:p>
          <w:p>
            <w:pPr>
              <w:pStyle w:val="style179"/>
              <w:numPr>
                <w:ilvl w:val="0"/>
                <w:numId w:val="9"/>
              </w:numPr>
              <w:spacing w:lineRule="exact" w:line="280"/>
              <w:ind w:left="284" w:hanging="284"/>
              <w:rPr>
                <w:sz w:val="20"/>
              </w:rPr>
            </w:pPr>
            <w:r>
              <w:rPr>
                <w:rFonts w:hint="eastAsia"/>
                <w:sz w:val="20"/>
              </w:rPr>
              <w:t>英文入学申请表</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中文入学申请表</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最高学历或学位证书原件及复印件</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最高学历或学位阶段成绩单原件及复印件</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单位支持学习声明</w:t>
            </w:r>
            <w:r>
              <w:rPr>
                <w:sz w:val="20"/>
              </w:rPr>
              <w:t>/</w:t>
            </w:r>
            <w:r>
              <w:rPr>
                <w:rFonts w:hint="eastAsia"/>
                <w:sz w:val="20"/>
              </w:rPr>
              <w:t>个人责任声明</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入学推荐表</w:t>
            </w:r>
            <w:r>
              <w:rPr>
                <w:rFonts w:hint="eastAsia"/>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附加信息（个人兴趣与爱好等）</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身份证（或护照）原件及复印件</w:t>
            </w:r>
            <w:r>
              <w:rPr>
                <w:sz w:val="20"/>
              </w:rPr>
              <w:t>1</w:t>
            </w:r>
            <w:r>
              <w:rPr>
                <w:rFonts w:hint="eastAsia"/>
                <w:sz w:val="20"/>
              </w:rPr>
              <w:t>份</w:t>
            </w:r>
          </w:p>
          <w:p>
            <w:pPr>
              <w:pStyle w:val="style179"/>
              <w:numPr>
                <w:ilvl w:val="0"/>
                <w:numId w:val="9"/>
              </w:numPr>
              <w:spacing w:lineRule="exact" w:line="280"/>
              <w:ind w:left="284" w:hanging="284"/>
              <w:rPr>
                <w:sz w:val="20"/>
              </w:rPr>
            </w:pPr>
            <w:r>
              <w:rPr>
                <w:rFonts w:hint="eastAsia"/>
                <w:sz w:val="20"/>
              </w:rPr>
              <w:t>一寸彩色证件照</w:t>
            </w:r>
            <w:r>
              <w:rPr>
                <w:sz w:val="20"/>
              </w:rPr>
              <w:t>2</w:t>
            </w:r>
            <w:r>
              <w:rPr>
                <w:rFonts w:hint="eastAsia"/>
                <w:sz w:val="20"/>
              </w:rPr>
              <w:t>张</w:t>
            </w:r>
          </w:p>
          <w:p>
            <w:pPr>
              <w:pStyle w:val="style179"/>
              <w:numPr>
                <w:ilvl w:val="0"/>
                <w:numId w:val="9"/>
              </w:numPr>
              <w:spacing w:lineRule="exact" w:line="280"/>
              <w:ind w:left="284" w:hanging="284"/>
              <w:rPr>
                <w:sz w:val="20"/>
              </w:rPr>
            </w:pPr>
            <w:r>
              <w:rPr>
                <w:rFonts w:hint="eastAsia"/>
                <w:sz w:val="20"/>
              </w:rPr>
              <w:t>现职名片</w:t>
            </w:r>
            <w:r>
              <w:rPr>
                <w:sz w:val="20"/>
              </w:rPr>
              <w:t>2</w:t>
            </w:r>
            <w:r>
              <w:rPr>
                <w:rFonts w:hint="eastAsia"/>
                <w:sz w:val="20"/>
              </w:rPr>
              <w:t>张</w:t>
            </w:r>
          </w:p>
          <w:bookmarkStart w:id="5" w:name="_Toc468873249"/>
          <w:bookmarkStart w:id="6" w:name="_Toc468873271"/>
          <w:p>
            <w:pPr>
              <w:pStyle w:val="style2"/>
              <w:spacing w:before="360"/>
              <w:outlineLvl w:val="1"/>
              <w:rPr/>
            </w:pPr>
            <w:r>
              <w:rPr>
                <w:rFonts w:hint="eastAsia"/>
              </w:rPr>
              <w:t>录取流程</w:t>
            </w:r>
            <w:bookmarkEnd w:id="5"/>
            <w:bookmarkEnd w:id="6"/>
          </w:p>
          <w:p>
            <w:pPr>
              <w:pStyle w:val="style179"/>
              <w:numPr>
                <w:ilvl w:val="0"/>
                <w:numId w:val="9"/>
              </w:numPr>
              <w:spacing w:lineRule="exact" w:line="280"/>
              <w:ind w:left="284" w:hanging="284"/>
              <w:rPr>
                <w:sz w:val="20"/>
              </w:rPr>
            </w:pPr>
            <w:r>
              <w:rPr>
                <w:sz w:val="20"/>
              </w:rPr>
              <w:t>提交：申请人完整填写并提交《入学申请》及申请材料，并缴纳申请费</w:t>
            </w:r>
          </w:p>
          <w:p>
            <w:pPr>
              <w:pStyle w:val="style179"/>
              <w:numPr>
                <w:ilvl w:val="0"/>
                <w:numId w:val="9"/>
              </w:numPr>
              <w:spacing w:lineRule="exact" w:line="280"/>
              <w:ind w:left="284" w:hanging="284"/>
              <w:rPr>
                <w:sz w:val="20"/>
              </w:rPr>
            </w:pPr>
            <w:r>
              <w:rPr>
                <w:sz w:val="20"/>
              </w:rPr>
              <w:t>初审：校方初审申请人提交的全套资料</w:t>
            </w:r>
          </w:p>
          <w:p>
            <w:pPr>
              <w:pStyle w:val="style179"/>
              <w:numPr>
                <w:ilvl w:val="0"/>
                <w:numId w:val="9"/>
              </w:numPr>
              <w:spacing w:lineRule="exact" w:line="280"/>
              <w:ind w:left="284" w:hanging="284"/>
              <w:rPr>
                <w:sz w:val="20"/>
              </w:rPr>
            </w:pPr>
            <w:r>
              <w:rPr>
                <w:sz w:val="20"/>
              </w:rPr>
              <w:t>面试：初审通过的申请人参加校方组织的资格面试</w:t>
            </w:r>
          </w:p>
          <w:p>
            <w:pPr>
              <w:pStyle w:val="style179"/>
              <w:numPr>
                <w:ilvl w:val="0"/>
                <w:numId w:val="9"/>
              </w:numPr>
              <w:spacing w:lineRule="exact" w:line="280"/>
              <w:ind w:left="284" w:hanging="284"/>
              <w:rPr>
                <w:sz w:val="20"/>
              </w:rPr>
            </w:pPr>
            <w:r>
              <w:rPr>
                <w:sz w:val="20"/>
              </w:rPr>
              <w:t>录取：荷兰总校为面试通过的申请人发放《录取通知书》</w:t>
            </w:r>
          </w:p>
          <w:p>
            <w:pPr>
              <w:pStyle w:val="style179"/>
              <w:numPr>
                <w:ilvl w:val="0"/>
                <w:numId w:val="9"/>
              </w:numPr>
              <w:spacing w:lineRule="exact" w:line="280"/>
              <w:ind w:left="284" w:hanging="284"/>
              <w:rPr>
                <w:sz w:val="20"/>
              </w:rPr>
            </w:pPr>
            <w:r>
              <w:rPr>
                <w:sz w:val="20"/>
              </w:rPr>
              <w:t>缴费：申请人缴纳全款学费</w:t>
            </w:r>
          </w:p>
          <w:p>
            <w:pPr>
              <w:pStyle w:val="style179"/>
              <w:numPr>
                <w:ilvl w:val="0"/>
                <w:numId w:val="9"/>
              </w:numPr>
              <w:spacing w:lineRule="exact" w:line="280"/>
              <w:ind w:left="284" w:hanging="284"/>
              <w:rPr>
                <w:sz w:val="20"/>
              </w:rPr>
            </w:pPr>
            <w:r>
              <w:rPr>
                <w:sz w:val="20"/>
              </w:rPr>
              <w:t>注册：荷兰总校为申请人进行学籍注册，发放《注册通知书》，成为正式学生</w:t>
            </w:r>
          </w:p>
          <w:p>
            <w:pPr>
              <w:pStyle w:val="style179"/>
              <w:numPr>
                <w:ilvl w:val="0"/>
                <w:numId w:val="0"/>
              </w:numPr>
              <w:spacing w:lineRule="exact" w:line="280"/>
              <w:ind w:left="284"/>
              <w:rPr>
                <w:sz w:val="20"/>
              </w:rPr>
            </w:pPr>
          </w:p>
        </w:tc>
        <w:tc>
          <w:tcPr>
            <w:tcW w:w="4394" w:type="dxa"/>
            <w:tcBorders>
              <w:top w:val="nil"/>
              <w:left w:val="single" w:sz="4" w:space="0" w:color="ff6600"/>
              <w:bottom w:val="nil"/>
              <w:right w:val="nil"/>
            </w:tcBorders>
          </w:tcPr>
          <w:p>
            <w:pPr>
              <w:pStyle w:val="style2"/>
              <w:spacing w:before="360"/>
              <w:outlineLvl w:val="1"/>
              <w:rPr/>
            </w:pPr>
            <w:r>
              <w:rPr>
                <w:rFonts w:hint="eastAsia"/>
              </w:rPr>
              <w:t>学费</w:t>
            </w:r>
          </w:p>
          <w:p>
            <w:pPr>
              <w:pStyle w:val="style179"/>
              <w:numPr>
                <w:ilvl w:val="0"/>
                <w:numId w:val="9"/>
              </w:numPr>
              <w:spacing w:lineRule="exact" w:line="280"/>
              <w:ind w:left="284" w:hanging="284"/>
              <w:rPr>
                <w:sz w:val="20"/>
              </w:rPr>
            </w:pPr>
            <w:r>
              <w:rPr>
                <w:rFonts w:hint="eastAsia"/>
                <w:sz w:val="20"/>
              </w:rPr>
              <w:t>申请费：</w:t>
            </w:r>
            <w:r>
              <w:rPr>
                <w:rFonts w:hint="eastAsia"/>
                <w:sz w:val="20"/>
              </w:rPr>
              <w:t xml:space="preserve"> </w:t>
            </w:r>
            <w:r>
              <w:rPr>
                <w:sz w:val="20"/>
              </w:rPr>
              <w:t>2</w:t>
            </w:r>
            <w:r>
              <w:rPr>
                <w:rFonts w:hint="eastAsia"/>
                <w:sz w:val="20"/>
              </w:rPr>
              <w:t>,</w:t>
            </w:r>
            <w:r>
              <w:rPr>
                <w:sz w:val="20"/>
              </w:rPr>
              <w:t>000</w:t>
            </w:r>
            <w:r>
              <w:rPr>
                <w:rFonts w:hint="eastAsia"/>
                <w:sz w:val="20"/>
              </w:rPr>
              <w:t>元（人民币）</w:t>
            </w:r>
          </w:p>
          <w:p>
            <w:pPr>
              <w:pStyle w:val="style179"/>
              <w:numPr>
                <w:ilvl w:val="0"/>
                <w:numId w:val="9"/>
              </w:numPr>
              <w:spacing w:lineRule="exact" w:line="280"/>
              <w:ind w:left="284" w:hanging="284"/>
              <w:rPr>
                <w:sz w:val="20"/>
              </w:rPr>
            </w:pPr>
            <w:r>
              <w:rPr>
                <w:rFonts w:hint="eastAsia"/>
                <w:sz w:val="20"/>
              </w:rPr>
              <w:t>学</w:t>
            </w:r>
            <w:r>
              <w:rPr>
                <w:rFonts w:hint="eastAsia"/>
                <w:sz w:val="20"/>
              </w:rPr>
              <w:t xml:space="preserve">  </w:t>
            </w:r>
            <w:r>
              <w:rPr>
                <w:rFonts w:hint="eastAsia"/>
                <w:sz w:val="20"/>
              </w:rPr>
              <w:t>费：</w:t>
            </w:r>
            <w:r>
              <w:rPr>
                <w:rFonts w:hint="eastAsia"/>
                <w:sz w:val="20"/>
              </w:rPr>
              <w:t>1</w:t>
            </w:r>
            <w:r>
              <w:rPr>
                <w:rFonts w:hint="eastAsia"/>
                <w:sz w:val="20"/>
              </w:rPr>
              <w:t>5</w:t>
            </w:r>
            <w:r>
              <w:rPr>
                <w:rFonts w:hint="eastAsia"/>
                <w:sz w:val="20"/>
              </w:rPr>
              <w:t>8,</w:t>
            </w:r>
            <w:r>
              <w:rPr>
                <w:sz w:val="20"/>
              </w:rPr>
              <w:t>000</w:t>
            </w:r>
            <w:r>
              <w:rPr>
                <w:rFonts w:hint="eastAsia"/>
                <w:sz w:val="20"/>
              </w:rPr>
              <w:t>元（人民币）</w:t>
            </w:r>
          </w:p>
          <w:p>
            <w:pPr>
              <w:pStyle w:val="style2"/>
              <w:spacing w:before="360"/>
              <w:outlineLvl w:val="1"/>
              <w:rPr/>
            </w:pPr>
            <w:r>
              <w:rPr>
                <w:rFonts w:hint="eastAsia"/>
              </w:rPr>
              <w:t>学位</w:t>
            </w:r>
          </w:p>
          <w:p>
            <w:pPr>
              <w:pStyle w:val="style0"/>
              <w:spacing w:lineRule="exact" w:line="280"/>
              <w:ind w:left="174" w:leftChars="83" w:firstLine="2" w:firstLineChars="1"/>
              <w:rPr>
                <w:sz w:val="20"/>
                <w:szCs w:val="20"/>
              </w:rPr>
            </w:pPr>
            <w:r>
              <w:rPr>
                <w:sz w:val="20"/>
                <w:szCs w:val="20"/>
              </w:rPr>
              <w:t>学生完成所有规定课程学习和学位论文答辩，成绩合格，</w:t>
            </w:r>
            <w:r>
              <w:rPr>
                <w:rFonts w:hint="eastAsia"/>
                <w:sz w:val="20"/>
                <w:szCs w:val="20"/>
              </w:rPr>
              <w:t>可</w:t>
            </w:r>
            <w:r>
              <w:rPr>
                <w:sz w:val="20"/>
                <w:szCs w:val="20"/>
              </w:rPr>
              <w:t>被授予</w:t>
            </w:r>
            <w:r>
              <w:rPr>
                <w:sz w:val="20"/>
                <w:szCs w:val="20"/>
              </w:rPr>
              <w:t>BSN</w:t>
            </w:r>
            <w:r>
              <w:rPr>
                <w:sz w:val="20"/>
                <w:szCs w:val="20"/>
              </w:rPr>
              <w:t>荷兰商学院全球统一的工商管理硕士（</w:t>
            </w:r>
            <w:r>
              <w:rPr>
                <w:sz w:val="20"/>
                <w:szCs w:val="20"/>
              </w:rPr>
              <w:t>MBA</w:t>
            </w:r>
            <w:r>
              <w:rPr>
                <w:sz w:val="20"/>
                <w:szCs w:val="20"/>
              </w:rPr>
              <w:t>）学位。</w:t>
            </w:r>
          </w:p>
          <w:p>
            <w:pPr>
              <w:pStyle w:val="style0"/>
              <w:spacing w:lineRule="exact" w:line="280"/>
              <w:ind w:firstLine="400"/>
              <w:rPr>
                <w:sz w:val="20"/>
                <w:szCs w:val="20"/>
              </w:rPr>
            </w:pPr>
          </w:p>
          <w:p>
            <w:pPr>
              <w:pStyle w:val="style0"/>
              <w:spacing w:lineRule="exact" w:line="280"/>
              <w:ind w:firstLine="400"/>
              <w:rPr>
                <w:sz w:val="20"/>
                <w:szCs w:val="20"/>
              </w:rPr>
            </w:pPr>
          </w:p>
          <w:p>
            <w:pPr>
              <w:pStyle w:val="style0"/>
              <w:spacing w:lineRule="exact" w:line="280"/>
              <w:ind w:firstLine="400"/>
              <w:rPr>
                <w:sz w:val="20"/>
                <w:szCs w:val="20"/>
              </w:rPr>
            </w:pPr>
          </w:p>
          <w:p>
            <w:pPr>
              <w:pStyle w:val="style0"/>
              <w:spacing w:lineRule="exact" w:line="280"/>
              <w:ind w:firstLine="400"/>
              <w:rPr>
                <w:sz w:val="20"/>
                <w:szCs w:val="20"/>
              </w:rPr>
            </w:pPr>
          </w:p>
          <w:p>
            <w:pPr>
              <w:pStyle w:val="style0"/>
              <w:spacing w:lineRule="exact" w:line="280"/>
              <w:ind w:firstLine="400"/>
              <w:rPr>
                <w:sz w:val="20"/>
                <w:szCs w:val="20"/>
              </w:rPr>
            </w:pPr>
          </w:p>
          <w:p>
            <w:pPr>
              <w:pStyle w:val="style0"/>
              <w:spacing w:lineRule="exact" w:line="280"/>
              <w:ind w:firstLine="400"/>
              <w:rPr>
                <w:sz w:val="20"/>
                <w:szCs w:val="20"/>
              </w:rPr>
            </w:pPr>
          </w:p>
          <w:p>
            <w:pPr>
              <w:pStyle w:val="style0"/>
              <w:spacing w:lineRule="exact" w:line="280"/>
              <w:ind w:firstLine="0" w:firstLineChars="0"/>
              <w:rPr>
                <w:sz w:val="20"/>
                <w:szCs w:val="20"/>
              </w:rPr>
            </w:pPr>
          </w:p>
          <w:p>
            <w:pPr>
              <w:pStyle w:val="style0"/>
              <w:spacing w:lineRule="exact" w:line="280"/>
              <w:ind w:firstLine="0" w:firstLineChars="0"/>
              <w:rPr>
                <w:sz w:val="20"/>
                <w:szCs w:val="20"/>
              </w:rPr>
            </w:pPr>
          </w:p>
          <w:p>
            <w:pPr>
              <w:pStyle w:val="style0"/>
              <w:tabs>
                <w:tab w:val="left" w:leader="none" w:pos="1457"/>
              </w:tabs>
              <w:spacing w:after="0" w:lineRule="exact" w:line="280"/>
              <w:ind w:firstLine="0" w:firstLineChars="0"/>
              <w:rPr>
                <w:sz w:val="20"/>
                <w:szCs w:val="20"/>
              </w:rPr>
            </w:pPr>
            <w:r>
              <w:rPr>
                <w:sz w:val="20"/>
                <w:szCs w:val="20"/>
              </w:rPr>
              <w:tab/>
            </w:r>
          </w:p>
        </w:tc>
      </w:tr>
      <w:bookmarkEnd w:id="1"/>
      <w:bookmarkEnd w:id="2"/>
    </w:tbl>
    <w:p>
      <w:pPr>
        <w:pStyle w:val="style2"/>
        <w:spacing w:before="360"/>
        <w:rPr/>
        <w:sectPr>
          <w:type w:val="continuous"/>
          <w:pgSz w:w="11906" w:h="16838" w:orient="portrait"/>
          <w:pgMar w:top="1361" w:right="1474" w:bottom="1361" w:left="1474" w:header="567" w:footer="454" w:gutter="0"/>
          <w:cols w:space="720"/>
          <w:docGrid w:linePitch="360"/>
        </w:sectPr>
      </w:pPr>
    </w:p>
    <w:p>
      <w:pPr>
        <w:pStyle w:val="style0"/>
        <w:ind w:firstLine="0" w:firstLineChars="0"/>
        <w:rPr/>
      </w:pPr>
      <w:r>
        <w:rPr>
          <w:noProof/>
        </w:rPr>
        <w:drawing>
          <wp:anchor distT="0" distB="0" distL="0" distR="0" simplePos="false" relativeHeight="9" behindDoc="true" locked="false" layoutInCell="true" allowOverlap="true">
            <wp:simplePos x="0" y="0"/>
            <wp:positionH relativeFrom="column">
              <wp:posOffset>-1153160</wp:posOffset>
            </wp:positionH>
            <wp:positionV relativeFrom="paragraph">
              <wp:posOffset>-921385</wp:posOffset>
            </wp:positionV>
            <wp:extent cx="9285605" cy="8536940"/>
            <wp:effectExtent l="19050" t="0" r="0" b="0"/>
            <wp:wrapNone/>
            <wp:docPr id="1105"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图片 1"/>
                    <pic:cNvPicPr/>
                  </pic:nvPicPr>
                  <pic:blipFill>
                    <a:blip r:embed="rId66" cstate="print"/>
                    <a:srcRect l="0" t="0" r="0" b="0"/>
                    <a:stretch/>
                  </pic:blipFill>
                  <pic:spPr>
                    <a:xfrm rot="0">
                      <a:off x="0" y="0"/>
                      <a:ext cx="9285605" cy="8536940"/>
                    </a:xfrm>
                    <a:prstGeom prst="rect"/>
                    <a:ln>
                      <a:noFill/>
                    </a:ln>
                  </pic:spPr>
                </pic:pic>
              </a:graphicData>
            </a:graphic>
          </wp:anchor>
        </w:drawing>
      </w:r>
    </w:p>
    <w:p>
      <w:pPr>
        <w:pStyle w:val="style0"/>
        <w:ind w:firstLineChars="0"/>
        <w:rPr/>
      </w:pPr>
    </w:p>
    <w:p>
      <w:pPr>
        <w:pStyle w:val="style0"/>
        <w:ind w:firstLineChars="0"/>
        <w:rPr/>
      </w:pPr>
    </w:p>
    <w:p>
      <w:pPr>
        <w:pStyle w:val="style0"/>
        <w:ind w:firstLineChars="0"/>
        <w:rPr/>
      </w:pPr>
    </w:p>
    <w:p>
      <w:pPr>
        <w:pStyle w:val="style0"/>
        <w:adjustRightInd/>
        <w:snapToGrid/>
        <w:spacing w:after="0"/>
        <w:ind w:firstLine="0" w:firstLineChars="0"/>
        <w:rPr>
          <w:sz w:val="18"/>
          <w:szCs w:val="18"/>
        </w:rPr>
      </w:pPr>
      <w:r>
        <w:rPr>
          <w:noProof/>
          <w:sz w:val="18"/>
          <w:szCs w:val="18"/>
        </w:rPr>
        <w:drawing>
          <wp:anchor distT="0" distB="0" distL="0" distR="0" simplePos="false" relativeHeight="12" behindDoc="false" locked="false" layoutInCell="true" allowOverlap="true">
            <wp:simplePos x="0" y="0"/>
            <wp:positionH relativeFrom="column">
              <wp:posOffset>4163694</wp:posOffset>
            </wp:positionH>
            <wp:positionV relativeFrom="paragraph">
              <wp:posOffset>-474345</wp:posOffset>
            </wp:positionV>
            <wp:extent cx="1992629" cy="914400"/>
            <wp:effectExtent l="19050" t="0" r="7620" b="0"/>
            <wp:wrapNone/>
            <wp:docPr id="1106" name="图片 1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69"/>
                    <pic:cNvPicPr/>
                  </pic:nvPicPr>
                  <pic:blipFill>
                    <a:blip r:embed="rId2" cstate="print"/>
                    <a:srcRect l="0" t="0" r="0" b="0"/>
                    <a:stretch/>
                  </pic:blipFill>
                  <pic:spPr>
                    <a:xfrm rot="0">
                      <a:off x="0" y="0"/>
                      <a:ext cx="1992629" cy="914400"/>
                    </a:xfrm>
                    <a:prstGeom prst="rect"/>
                  </pic:spPr>
                </pic:pic>
              </a:graphicData>
            </a:graphic>
          </wp:anchor>
        </w:drawing>
      </w:r>
    </w:p>
    <w:p>
      <w:pPr>
        <w:pStyle w:val="style0"/>
        <w:adjustRightInd/>
        <w:snapToGrid/>
        <w:spacing w:after="0"/>
        <w:ind w:firstLine="0" w:firstLineChars="0"/>
        <w:rPr>
          <w:sz w:val="18"/>
          <w:szCs w:val="18"/>
        </w:rPr>
      </w:pPr>
      <w:r>
        <w:rPr>
          <w:sz w:val="18"/>
          <w:szCs w:val="18"/>
        </w:rPr>
        <w:pict>
          <v:shape id="1107" type="#_x0000_t202" filled="f" stroked="f" style="position:absolute;margin-left:-11.2pt;margin-top:558.55pt;width:443.8pt;height:93.65pt;z-index:29;mso-position-horizontal-relative:text;mso-position-vertical-relative:text;mso-height-percent:200;mso-width-relative:page;mso-height-relative:margin;mso-wrap-distance-left:0.0pt;mso-wrap-distance-right:0.0pt;visibility:visible;">
            <v:stroke on="f" joinstyle="miter"/>
            <v:fill/>
            <v:path o:connecttype="rect" gradientshapeok="t"/>
            <v:textbox style="mso-fit-shape-to-text:true;">
              <w:txbxContent>
                <w:p>
                  <w:pPr>
                    <w:pStyle w:val="style0"/>
                    <w:ind w:firstLine="0" w:firstLineChars="0"/>
                    <w:jc w:val="center"/>
                    <w:rPr>
                      <w:rFonts w:ascii="微软雅黑" w:hAnsi="微软雅黑"/>
                      <w:b/>
                      <w:color w:val="ff9933"/>
                      <w:sz w:val="72"/>
                      <w:szCs w:val="72"/>
                    </w:rPr>
                  </w:pPr>
                  <w:r>
                    <w:rPr>
                      <w:rFonts w:ascii="微软雅黑" w:hAnsi="微软雅黑" w:hint="eastAsia"/>
                      <w:b/>
                      <w:color w:val="ff9933"/>
                      <w:sz w:val="72"/>
                      <w:szCs w:val="72"/>
                    </w:rPr>
                    <w:t>国际视野 · 知行合一</w:t>
                  </w:r>
                </w:p>
                <w:p>
                  <w:pPr>
                    <w:pStyle w:val="style0"/>
                    <w:ind w:firstLine="420"/>
                    <w:jc w:val="center"/>
                    <w:rPr/>
                  </w:pPr>
                </w:p>
              </w:txbxContent>
            </v:textbox>
          </v:shape>
        </w:pict>
      </w:r>
      <w:r>
        <w:rPr>
          <w:sz w:val="18"/>
          <w:szCs w:val="18"/>
        </w:rPr>
        <w:pict>
          <v:rect id="1108" fillcolor="#f79646" stroked="t" style="position:absolute;margin-left:-92.9pt;margin-top:512.7pt;width:616.05pt;height:8.7pt;z-index:28;mso-position-horizontal-relative:text;mso-position-vertical-relative:text;mso-width-relative:page;mso-height-relative:page;mso-wrap-distance-left:0.0pt;mso-wrap-distance-right:0.0pt;visibility:visible;">
            <v:stroke color="#f79646" weight="2.5pt"/>
            <v:fill/>
          </v:rect>
        </w:pict>
      </w:r>
      <w:r>
        <w:rPr>
          <w:sz w:val="18"/>
          <w:szCs w:val="18"/>
        </w:rPr>
        <w:br w:type="page"/>
      </w: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r>
        <w:rPr>
          <w:rFonts w:hint="eastAsia"/>
          <w:noProof/>
          <w:sz w:val="18"/>
          <w:szCs w:val="18"/>
        </w:rPr>
        <w:drawing>
          <wp:anchor distT="0" distB="0" distL="0" distR="0" simplePos="false" relativeHeight="13" behindDoc="false" locked="false" layoutInCell="true" allowOverlap="true">
            <wp:simplePos x="0" y="0"/>
            <wp:positionH relativeFrom="column">
              <wp:posOffset>100330</wp:posOffset>
            </wp:positionH>
            <wp:positionV relativeFrom="paragraph">
              <wp:posOffset>-20955</wp:posOffset>
            </wp:positionV>
            <wp:extent cx="1730375" cy="793750"/>
            <wp:effectExtent l="19050" t="0" r="3175" b="0"/>
            <wp:wrapNone/>
            <wp:docPr id="1109" name="图片 1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69"/>
                    <pic:cNvPicPr/>
                  </pic:nvPicPr>
                  <pic:blipFill>
                    <a:blip r:embed="rId2" cstate="print"/>
                    <a:srcRect l="0" t="0" r="0" b="0"/>
                    <a:stretch/>
                  </pic:blipFill>
                  <pic:spPr>
                    <a:xfrm rot="0">
                      <a:off x="0" y="0"/>
                      <a:ext cx="1730375" cy="793750"/>
                    </a:xfrm>
                    <a:prstGeom prst="rect"/>
                  </pic:spPr>
                </pic:pic>
              </a:graphicData>
            </a:graphic>
          </wp:anchor>
        </w:drawing>
      </w: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rPr>
          <w:sz w:val="18"/>
          <w:szCs w:val="18"/>
        </w:rPr>
      </w:pPr>
    </w:p>
    <w:p>
      <w:pPr>
        <w:pStyle w:val="style0"/>
        <w:adjustRightInd/>
        <w:snapToGrid/>
        <w:spacing w:after="0"/>
        <w:ind w:firstLine="0" w:firstLineChars="0"/>
        <w:jc w:val="center"/>
        <w:rPr>
          <w:rFonts w:ascii="微软雅黑" w:hAnsi="微软雅黑" w:hint="eastAsia"/>
          <w:b/>
          <w:color w:val="e36c0a"/>
          <w:sz w:val="48"/>
          <w:szCs w:val="44"/>
        </w:rPr>
      </w:pPr>
    </w:p>
    <w:p>
      <w:pPr>
        <w:pStyle w:val="style0"/>
        <w:adjustRightInd/>
        <w:snapToGrid/>
        <w:spacing w:after="0"/>
        <w:ind w:firstLine="0" w:firstLineChars="0"/>
        <w:jc w:val="center"/>
        <w:rPr>
          <w:rFonts w:ascii="微软雅黑" w:hAnsi="微软雅黑" w:hint="eastAsia"/>
          <w:b/>
          <w:color w:val="e36c0a"/>
          <w:sz w:val="48"/>
          <w:szCs w:val="44"/>
        </w:rPr>
      </w:pPr>
    </w:p>
    <w:p>
      <w:pPr>
        <w:pStyle w:val="style0"/>
        <w:adjustRightInd/>
        <w:snapToGrid/>
        <w:spacing w:after="0"/>
        <w:ind w:firstLine="0" w:firstLineChars="0"/>
        <w:jc w:val="center"/>
        <w:rPr>
          <w:rFonts w:ascii="微软雅黑" w:hAnsi="微软雅黑"/>
          <w:b/>
          <w:color w:val="e36c0a"/>
          <w:sz w:val="48"/>
          <w:szCs w:val="44"/>
        </w:rPr>
      </w:pPr>
      <w:r>
        <w:rPr>
          <w:rFonts w:ascii="微软雅黑" w:hAnsi="微软雅黑"/>
          <w:b/>
          <w:color w:val="e36c0a"/>
          <w:sz w:val="48"/>
          <w:szCs w:val="44"/>
        </w:rPr>
        <w:t>听而易忘</w:t>
      </w:r>
      <w:r>
        <w:rPr>
          <w:rFonts w:ascii="微软雅黑" w:hAnsi="微软雅黑" w:hint="eastAsia"/>
          <w:b/>
          <w:color w:val="e36c0a"/>
          <w:sz w:val="48"/>
          <w:szCs w:val="44"/>
        </w:rPr>
        <w:t xml:space="preserve">   见而易记   做而易懂</w:t>
      </w:r>
    </w:p>
    <w:p>
      <w:pPr>
        <w:pStyle w:val="style0"/>
        <w:adjustRightInd/>
        <w:snapToGrid/>
        <w:spacing w:after="0"/>
        <w:ind w:firstLine="0" w:firstLineChars="0"/>
        <w:jc w:val="center"/>
        <w:rPr>
          <w:rFonts w:ascii="华文中宋" w:eastAsia="华文中宋" w:hAnsi="华文中宋"/>
          <w:b/>
          <w:color w:val="808080"/>
          <w:sz w:val="36"/>
          <w:szCs w:val="36"/>
        </w:rPr>
      </w:pPr>
      <w:r>
        <w:rPr>
          <w:rFonts w:ascii="华文中宋" w:eastAsia="华文中宋" w:hAnsi="华文中宋" w:hint="eastAsia"/>
          <w:b/>
          <w:color w:val="808080"/>
          <w:sz w:val="36"/>
          <w:szCs w:val="36"/>
        </w:rPr>
        <w:t>The</w:t>
      </w:r>
      <w:r>
        <w:rPr>
          <w:rFonts w:ascii="华文中宋" w:eastAsia="华文中宋" w:hAnsi="华文中宋" w:hint="eastAsia"/>
          <w:b/>
          <w:color w:val="e36c0a"/>
          <w:sz w:val="36"/>
          <w:szCs w:val="36"/>
        </w:rPr>
        <w:t xml:space="preserve"> Action Learning </w:t>
      </w:r>
      <w:r>
        <w:rPr>
          <w:rFonts w:ascii="华文中宋" w:eastAsia="华文中宋" w:hAnsi="华文中宋" w:hint="eastAsia"/>
          <w:b/>
          <w:color w:val="808080"/>
          <w:sz w:val="36"/>
          <w:szCs w:val="36"/>
        </w:rPr>
        <w:t>Business School</w:t>
      </w:r>
    </w:p>
    <w:p>
      <w:pPr>
        <w:pStyle w:val="style0"/>
        <w:adjustRightInd/>
        <w:snapToGrid/>
        <w:spacing w:after="0"/>
        <w:ind w:firstLine="0" w:firstLineChars="0"/>
        <w:jc w:val="center"/>
        <w:rPr>
          <w:rFonts w:ascii="华文中宋" w:eastAsia="华文中宋" w:hAnsi="华文中宋"/>
          <w:b/>
          <w:color w:val="808080"/>
          <w:sz w:val="36"/>
          <w:szCs w:val="36"/>
        </w:rPr>
      </w:pPr>
    </w:p>
    <w:p>
      <w:pPr>
        <w:pStyle w:val="style0"/>
        <w:adjustRightInd/>
        <w:snapToGrid/>
        <w:spacing w:after="0"/>
        <w:ind w:firstLine="0" w:firstLineChars="0"/>
        <w:jc w:val="center"/>
        <w:rPr>
          <w:rFonts w:ascii="华文中宋" w:eastAsia="华文中宋" w:hAnsi="华文中宋"/>
          <w:b/>
          <w:color w:val="808080"/>
          <w:sz w:val="36"/>
          <w:szCs w:val="36"/>
        </w:rPr>
      </w:pPr>
    </w:p>
    <w:p>
      <w:pPr>
        <w:pStyle w:val="style0"/>
        <w:adjustRightInd/>
        <w:snapToGrid/>
        <w:spacing w:after="0"/>
        <w:ind w:firstLine="0" w:firstLineChars="0"/>
        <w:jc w:val="center"/>
        <w:rPr>
          <w:b/>
          <w:color w:val="808080"/>
          <w:sz w:val="44"/>
          <w:szCs w:val="44"/>
        </w:rPr>
      </w:pPr>
    </w:p>
    <w:p>
      <w:pPr>
        <w:pStyle w:val="style0"/>
        <w:adjustRightInd/>
        <w:snapToGrid/>
        <w:spacing w:after="0"/>
        <w:ind w:firstLine="0" w:firstLineChars="0"/>
        <w:jc w:val="center"/>
        <w:rPr>
          <w:rFonts w:hint="eastAsia"/>
          <w:b/>
          <w:color w:val="808080"/>
          <w:sz w:val="44"/>
          <w:szCs w:val="44"/>
        </w:rPr>
      </w:pPr>
    </w:p>
    <w:p>
      <w:pPr>
        <w:pStyle w:val="style0"/>
        <w:adjustRightInd/>
        <w:snapToGrid/>
        <w:spacing w:after="0"/>
        <w:ind w:firstLine="0" w:firstLineChars="0"/>
        <w:jc w:val="center"/>
        <w:rPr>
          <w:b/>
          <w:color w:val="808080"/>
          <w:sz w:val="44"/>
          <w:szCs w:val="44"/>
        </w:rPr>
      </w:pPr>
    </w:p>
    <w:p>
      <w:pPr>
        <w:pStyle w:val="style0"/>
        <w:adjustRightInd/>
        <w:snapToGrid/>
        <w:spacing w:after="0"/>
        <w:ind w:firstLine="0" w:firstLineChars="0"/>
        <w:jc w:val="center"/>
        <w:rPr>
          <w:b/>
          <w:color w:val="808080"/>
          <w:sz w:val="44"/>
          <w:szCs w:val="44"/>
        </w:rPr>
      </w:pPr>
    </w:p>
    <w:p>
      <w:pPr>
        <w:pStyle w:val="style0"/>
        <w:adjustRightInd/>
        <w:snapToGrid/>
        <w:spacing w:after="0"/>
        <w:ind w:firstLine="0" w:firstLineChars="0"/>
        <w:rPr>
          <w:b/>
          <w:color w:val="808080"/>
          <w:sz w:val="44"/>
          <w:szCs w:val="44"/>
        </w:rPr>
      </w:pPr>
    </w:p>
    <w:p>
      <w:pPr>
        <w:pStyle w:val="style0"/>
        <w:adjustRightInd/>
        <w:snapToGrid/>
        <w:spacing w:after="0"/>
        <w:ind w:firstLine="0" w:firstLineChars="0"/>
        <w:jc w:val="center"/>
        <w:rPr>
          <w:rFonts w:ascii="华文中宋" w:eastAsia="华文中宋" w:hAnsi="华文中宋"/>
          <w:b/>
          <w:color w:val="e36c0a"/>
          <w:sz w:val="36"/>
          <w:szCs w:val="36"/>
        </w:rPr>
      </w:pPr>
      <w:r>
        <w:rPr>
          <w:rFonts w:ascii="华文中宋" w:eastAsia="华文中宋" w:hAnsi="华文中宋" w:hint="eastAsia"/>
          <w:b/>
          <w:color w:val="e36c0a"/>
          <w:sz w:val="36"/>
          <w:szCs w:val="36"/>
        </w:rPr>
        <w:t>Business School Netherlands荷兰商学院</w:t>
      </w:r>
    </w:p>
    <w:p>
      <w:pPr>
        <w:pStyle w:val="style0"/>
        <w:adjustRightInd/>
        <w:snapToGrid/>
        <w:spacing w:after="0"/>
        <w:ind w:firstLine="0" w:firstLineChars="0"/>
        <w:rPr>
          <w:rFonts w:ascii="华文中宋" w:eastAsia="华文中宋" w:hAnsi="华文中宋"/>
          <w:b/>
          <w:color w:val="e36c0a"/>
          <w:sz w:val="36"/>
          <w:szCs w:val="36"/>
        </w:rPr>
      </w:pPr>
      <w:r>
        <w:rPr>
          <w:rFonts w:ascii="华文中宋" w:eastAsia="华文中宋" w:hAnsi="华文中宋"/>
          <w:b/>
          <w:color w:val="e36c0a"/>
          <w:sz w:val="36"/>
          <w:szCs w:val="36"/>
        </w:rPr>
        <w:pict>
          <v:shape id="1110" type="#_x0000_t32" filled="f" style="position:absolute;margin-left:18.15pt;margin-top:3.1pt;width:379.15pt;height:0.0pt;z-index:27;mso-position-horizontal-relative:text;mso-position-vertical-relative:text;mso-width-relative:page;mso-height-relative:page;mso-wrap-distance-left:0.0pt;mso-wrap-distance-right:0.0pt;visibility:visible;">
            <v:stroke color="#ab5108" weight="1.75pt"/>
            <v:fill/>
            <v:path o:connecttype="none" fillok="f" arrowok="t"/>
          </v:shape>
        </w:pict>
      </w:r>
      <w:r>
        <w:rPr>
          <w:rFonts w:ascii="华文中宋" w:eastAsia="华文中宋" w:hAnsi="华文中宋" w:hint="eastAsia"/>
          <w:b/>
          <w:color w:val="e36c0a"/>
          <w:sz w:val="36"/>
          <w:szCs w:val="36"/>
        </w:rPr>
        <w:t xml:space="preserve">  </w:t>
      </w:r>
    </w:p>
    <w:p>
      <w:pPr>
        <w:pStyle w:val="style0"/>
        <w:adjustRightInd/>
        <w:snapToGrid/>
        <w:spacing w:after="0"/>
        <w:ind w:firstLine="0" w:firstLineChars="0"/>
        <w:rPr>
          <w:rFonts w:ascii="Calibri" w:cs="Calibri" w:eastAsia="华文中宋" w:hAnsi="Calibri"/>
          <w:b/>
          <w:color w:val="e36c0a"/>
          <w:sz w:val="36"/>
          <w:szCs w:val="36"/>
        </w:rPr>
      </w:pPr>
      <w:r>
        <w:rPr>
          <w:rFonts w:ascii="华文中宋" w:eastAsia="华文中宋" w:hAnsi="华文中宋"/>
          <w:b/>
          <w:color w:val="e36c0a"/>
          <w:sz w:val="36"/>
          <w:szCs w:val="36"/>
        </w:rPr>
        <w:pict>
          <v:rect id="1111" fillcolor="#f79646" stroked="t" style="position:absolute;margin-left:-97.35pt;margin-top:18.8pt;width:663.55pt;height:214.8pt;z-index:-2147483611;mso-position-horizontal-relative:text;mso-position-vertical-relative:text;mso-width-relative:page;mso-height-relative:page;mso-wrap-distance-left:0.0pt;mso-wrap-distance-right:0.0pt;visibility:visible;">
            <v:stroke linestyle="thinThin" color="#f79646" weight="10.0pt"/>
            <v:fill/>
          </v:rect>
        </w:pict>
      </w:r>
    </w:p>
    <w:p>
      <w:pPr>
        <w:pStyle w:val="style0"/>
        <w:adjustRightInd/>
        <w:snapToGrid/>
        <w:spacing w:after="0"/>
        <w:ind w:firstLine="0" w:firstLineChars="0"/>
        <w:rPr>
          <w:rFonts w:ascii="Calibri" w:cs="Calibri" w:eastAsia="华文中宋" w:hAnsi="Calibri"/>
          <w:b/>
          <w:color w:val="ffffff"/>
          <w:sz w:val="28"/>
          <w:szCs w:val="28"/>
        </w:rPr>
      </w:pPr>
    </w:p>
    <w:sectPr>
      <w:headerReference w:type="even" r:id="rId67"/>
      <w:headerReference w:type="default" r:id="rId68"/>
      <w:footerReference w:type="even" r:id="rId69"/>
      <w:footerReference w:type="default" r:id="rId70"/>
      <w:headerReference w:type="first" r:id="rId71"/>
      <w:type w:val="continuous"/>
      <w:pgSz w:w="11906" w:h="16838" w:orient="portrait"/>
      <w:pgMar w:top="1440" w:right="1800" w:bottom="1440" w:left="1800" w:header="567" w:footer="45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微软雅黑">
    <w:altName w:val="微软雅黑"/>
    <w:panose1 w:val="020b0503020002020204"/>
    <w:charset w:val="86"/>
    <w:family w:val="swiss"/>
    <w:pitch w:val="variable"/>
    <w:sig w:usb0="80000287" w:usb1="280F3C52" w:usb2="00000016" w:usb3="00000000" w:csb0="0004001F" w:csb1="00000000"/>
  </w:font>
  <w:font w:name="Arial">
    <w:altName w:val="Arial"/>
    <w:panose1 w:val="020b0604020002020204"/>
    <w:charset w:val="00"/>
    <w:family w:val="swiss"/>
    <w:pitch w:val="variable"/>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 w:name="楷体">
    <w:altName w:val="楷体"/>
    <w:panose1 w:val="02010609060001010101"/>
    <w:charset w:val="86"/>
    <w:family w:val="modern"/>
    <w:pitch w:val="fixed"/>
    <w:sig w:usb0="800002BF" w:usb1="38CF7CFA" w:usb2="00000016" w:usb3="00000000" w:csb0="00040001" w:csb1="00000000"/>
  </w:font>
  <w:font w:name="经典综艺体简">
    <w:altName w:val="Arial Unicode MS"/>
    <w:panose1 w:val="00000000000000000000"/>
    <w:charset w:val="86"/>
    <w:family w:val="modern"/>
    <w:pitch w:val="default"/>
    <w:sig w:usb0="00000000" w:usb1="00000000" w:usb2="0000001E" w:usb3="00000000" w:csb0="00040000" w:csb1="00000000"/>
  </w:font>
  <w:font w:name="华文中宋">
    <w:altName w:val="hakuyoxingshu7000"/>
    <w:panose1 w:val="00000000000000000000"/>
    <w:charset w:val="86"/>
    <w:family w:val="auto"/>
    <w:pitch w:val="default"/>
    <w:sig w:usb0="00000000" w:usb1="080F0000" w:usb2="00000000" w:usb3="00000000" w:csb0="0004009F" w:csb1="DFD7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420"/>
      <w:jc w:val="center"/>
      <w:rPr>
        <w:rFonts w:ascii="微软雅黑" w:hAnsi="微软雅黑"/>
        <w:b/>
        <w:bCs/>
        <w:iCs/>
        <w:color w:val="e36c09"/>
        <w:sz w:val="21"/>
        <w:szCs w:val="20"/>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420"/>
      <w:jc w:val="center"/>
      <w:rPr>
        <w:rFonts w:ascii="微软雅黑" w:hAnsi="微软雅黑"/>
        <w:b/>
        <w:bCs/>
        <w:iCs/>
        <w:color w:val="e36c09"/>
        <w:sz w:val="21"/>
        <w:szCs w:val="20"/>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420"/>
      <w:jc w:val="center"/>
      <w:rPr>
        <w:rFonts w:ascii="微软雅黑" w:hAnsi="微软雅黑"/>
        <w:b/>
        <w:bCs/>
        <w:iCs/>
        <w:color w:val="e36c09"/>
        <w:sz w:val="21"/>
        <w:szCs w:val="20"/>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420"/>
      <w:jc w:val="center"/>
      <w:rPr>
        <w:rFonts w:ascii="微软雅黑" w:hAnsi="微软雅黑"/>
        <w:b/>
        <w:bCs/>
        <w:iCs/>
        <w:color w:val="e36c09"/>
        <w:sz w:val="21"/>
        <w:szCs w:val="20"/>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360"/>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ind w:firstLine="420"/>
      <w:jc w:val="center"/>
      <w:rPr>
        <w:rFonts w:ascii="微软雅黑" w:hAnsi="微软雅黑"/>
        <w:b/>
        <w:bCs/>
        <w:iCs/>
        <w:color w:val="e36c09"/>
        <w:sz w:val="21"/>
        <w:szCs w:val="2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ind w:firstLine="360"/>
      <w:rPr/>
    </w:pPr>
    <w:r>
      <w:rPr>
        <w:rFonts w:hint="eastAsia"/>
      </w:rPr>
      <w:t xml:space="preserve"> </w:t>
    </w: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ind w:firstLine="360"/>
      <w:rPr/>
    </w:pPr>
    <w:r>
      <w:rPr>
        <w:rFonts w:hint="eastAsia"/>
      </w:rPr>
      <w:t xml:space="preserve"> </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ind w:firstLine="360"/>
      <w:rPr/>
    </w:pPr>
    <w:r>
      <w:rPr>
        <w:rFonts w:hint="eastAsia"/>
      </w:rPr>
      <w:t xml:space="preserve"> </w:t>
    </w: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ind w:firstLine="360"/>
      <w:rPr/>
    </w:pPr>
    <w:r>
      <w:rPr>
        <w:rFonts w:hint="eastAsia"/>
      </w:rPr>
      <w:t xml:space="preserve"> </w:t>
    </w: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ind w:firstLine="360"/>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ind w:firstLine="360"/>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6E04E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01"/>
    <w:multiLevelType w:val="multilevel"/>
    <w:tmpl w:val="29B70998"/>
    <w:lvl w:ilvl="0">
      <w:start w:val="1"/>
      <w:numFmt w:val="bullet"/>
      <w:lvlText w:val="•"/>
      <w:lvlJc w:val="left"/>
      <w:pPr>
        <w:ind w:left="840" w:hanging="420"/>
      </w:pPr>
      <w:rPr>
        <w:rFonts w:ascii="微软雅黑" w:eastAsia="微软雅黑" w:hAnsi="微软雅黑"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0000002"/>
    <w:multiLevelType w:val="multilevel"/>
    <w:tmpl w:val="4F083ACB"/>
    <w:lvl w:ilvl="0">
      <w:start w:val="1"/>
      <w:numFmt w:val="decimal"/>
      <w:pStyle w:val="style4104"/>
      <w:lvlText w:val="%1."/>
      <w:lvlJc w:val="left"/>
      <w:pPr>
        <w:tabs>
          <w:tab w:val="left" w:leader="none" w:pos="360"/>
        </w:tabs>
        <w:ind w:left="360" w:hanging="360"/>
      </w:pPr>
      <w:rPr>
        <w:rFonts w:cs="Times New Roman" w:hint="default"/>
      </w:rPr>
    </w:lvl>
    <w:lvl w:ilvl="1">
      <w:start w:val="1"/>
      <w:numFmt w:val="lowerLetter"/>
      <w:lvlText w:val="%2)"/>
      <w:lvlJc w:val="left"/>
      <w:pPr>
        <w:tabs>
          <w:tab w:val="left" w:leader="none" w:pos="840"/>
        </w:tabs>
        <w:ind w:left="840" w:hanging="420"/>
      </w:pPr>
      <w:rPr>
        <w:rFonts w:cs="Times New Roman"/>
      </w:rPr>
    </w:lvl>
    <w:lvl w:ilvl="2">
      <w:start w:val="1"/>
      <w:numFmt w:val="lowerRoman"/>
      <w:lvlText w:val="%3."/>
      <w:lvlJc w:val="right"/>
      <w:pPr>
        <w:tabs>
          <w:tab w:val="left" w:leader="none" w:pos="1260"/>
        </w:tabs>
        <w:ind w:left="1260" w:hanging="420"/>
      </w:pPr>
      <w:rPr>
        <w:rFonts w:cs="Times New Roman"/>
      </w:rPr>
    </w:lvl>
    <w:lvl w:ilvl="3">
      <w:start w:val="1"/>
      <w:numFmt w:val="decimal"/>
      <w:lvlText w:val="%4."/>
      <w:lvlJc w:val="left"/>
      <w:pPr>
        <w:tabs>
          <w:tab w:val="left" w:leader="none" w:pos="1680"/>
        </w:tabs>
        <w:ind w:left="1680" w:hanging="420"/>
      </w:pPr>
      <w:rPr>
        <w:rFonts w:cs="Times New Roman"/>
      </w:rPr>
    </w:lvl>
    <w:lvl w:ilvl="4">
      <w:start w:val="1"/>
      <w:numFmt w:val="lowerLetter"/>
      <w:lvlText w:val="%5)"/>
      <w:lvlJc w:val="left"/>
      <w:pPr>
        <w:tabs>
          <w:tab w:val="left" w:leader="none" w:pos="2100"/>
        </w:tabs>
        <w:ind w:left="2100" w:hanging="420"/>
      </w:pPr>
      <w:rPr>
        <w:rFonts w:cs="Times New Roman"/>
      </w:rPr>
    </w:lvl>
    <w:lvl w:ilvl="5">
      <w:start w:val="1"/>
      <w:numFmt w:val="lowerRoman"/>
      <w:lvlText w:val="%6."/>
      <w:lvlJc w:val="right"/>
      <w:pPr>
        <w:tabs>
          <w:tab w:val="left" w:leader="none" w:pos="2520"/>
        </w:tabs>
        <w:ind w:left="2520" w:hanging="420"/>
      </w:pPr>
      <w:rPr>
        <w:rFonts w:cs="Times New Roman"/>
      </w:rPr>
    </w:lvl>
    <w:lvl w:ilvl="6">
      <w:start w:val="1"/>
      <w:numFmt w:val="decimal"/>
      <w:lvlText w:val="%7."/>
      <w:lvlJc w:val="left"/>
      <w:pPr>
        <w:tabs>
          <w:tab w:val="left" w:leader="none" w:pos="2940"/>
        </w:tabs>
        <w:ind w:left="2940" w:hanging="420"/>
      </w:pPr>
      <w:rPr>
        <w:rFonts w:cs="Times New Roman"/>
      </w:rPr>
    </w:lvl>
    <w:lvl w:ilvl="7">
      <w:start w:val="1"/>
      <w:numFmt w:val="lowerLetter"/>
      <w:lvlText w:val="%8)"/>
      <w:lvlJc w:val="left"/>
      <w:pPr>
        <w:tabs>
          <w:tab w:val="left" w:leader="none" w:pos="3360"/>
        </w:tabs>
        <w:ind w:left="3360" w:hanging="420"/>
      </w:pPr>
      <w:rPr>
        <w:rFonts w:cs="Times New Roman"/>
      </w:rPr>
    </w:lvl>
    <w:lvl w:ilvl="8">
      <w:start w:val="1"/>
      <w:numFmt w:val="lowerRoman"/>
      <w:lvlText w:val="%9."/>
      <w:lvlJc w:val="right"/>
      <w:pPr>
        <w:tabs>
          <w:tab w:val="left" w:leader="none" w:pos="3780"/>
        </w:tabs>
        <w:ind w:left="3780" w:hanging="420"/>
      </w:pPr>
      <w:rPr>
        <w:rFonts w:cs="Times New Roman"/>
      </w:rPr>
    </w:lvl>
  </w:abstractNum>
  <w:abstractNum w:abstractNumId="3">
    <w:nsid w:val="00000003"/>
    <w:multiLevelType w:val="multilevel"/>
    <w:tmpl w:val="534A0258"/>
    <w:lvl w:ilvl="0">
      <w:start w:val="1"/>
      <w:numFmt w:val="bullet"/>
      <w:lvlText w:val="•"/>
      <w:lvlJc w:val="left"/>
      <w:pPr>
        <w:ind w:left="840" w:hanging="420"/>
      </w:pPr>
      <w:rPr>
        <w:rFonts w:ascii="微软雅黑" w:eastAsia="微软雅黑" w:hAnsi="微软雅黑"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00000004"/>
    <w:multiLevelType w:val="multilevel"/>
    <w:tmpl w:val="5DAA17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0000005"/>
    <w:multiLevelType w:val="multilevel"/>
    <w:tmpl w:val="684902C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00000006"/>
    <w:multiLevelType w:val="multilevel"/>
    <w:tmpl w:val="6FBB16FC"/>
    <w:lvl w:ilvl="0">
      <w:start w:val="1"/>
      <w:numFmt w:val="bullet"/>
      <w:pStyle w:val="style2"/>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0000007"/>
    <w:multiLevelType w:val="multilevel"/>
    <w:tmpl w:val="75D53D8C"/>
    <w:lvl w:ilvl="0">
      <w:start w:val="1"/>
      <w:numFmt w:val="bullet"/>
      <w:pStyle w:val="style1"/>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8"/>
    <w:multiLevelType w:val="multilevel"/>
    <w:tmpl w:val="795C1D1B"/>
    <w:lvl w:ilvl="0">
      <w:start w:val="1"/>
      <w:numFmt w:val="bullet"/>
      <w:pStyle w:val="style179"/>
      <w:lvlText w:val="•"/>
      <w:lvlJc w:val="left"/>
      <w:pPr>
        <w:tabs>
          <w:tab w:val="left" w:leader="none" w:pos="720"/>
        </w:tabs>
        <w:ind w:left="720" w:hanging="360"/>
      </w:pPr>
      <w:rPr>
        <w:rFonts w:ascii="Arial" w:hAnsi="Arial" w:hint="default"/>
      </w:rPr>
    </w:lvl>
    <w:lvl w:ilvl="1">
      <w:start w:val="1"/>
      <w:numFmt w:val="bullet"/>
      <w:lvlText w:val="•"/>
      <w:lvlJc w:val="left"/>
      <w:pPr>
        <w:tabs>
          <w:tab w:val="left" w:leader="none" w:pos="1440"/>
        </w:tabs>
        <w:ind w:left="1440" w:hanging="360"/>
      </w:pPr>
      <w:rPr>
        <w:rFonts w:ascii="Arial" w:hAnsi="Arial" w:hint="default"/>
      </w:rPr>
    </w:lvl>
    <w:lvl w:ilvl="2">
      <w:start w:val="1"/>
      <w:numFmt w:val="bullet"/>
      <w:lvlText w:val="•"/>
      <w:lvlJc w:val="left"/>
      <w:pPr>
        <w:tabs>
          <w:tab w:val="left" w:leader="none" w:pos="2160"/>
        </w:tabs>
        <w:ind w:left="2160" w:hanging="360"/>
      </w:pPr>
      <w:rPr>
        <w:rFonts w:ascii="Arial" w:hAnsi="Arial" w:hint="default"/>
      </w:rPr>
    </w:lvl>
    <w:lvl w:ilvl="3">
      <w:start w:val="1"/>
      <w:numFmt w:val="bullet"/>
      <w:lvlText w:val="•"/>
      <w:lvlJc w:val="left"/>
      <w:pPr>
        <w:tabs>
          <w:tab w:val="left" w:leader="none" w:pos="2880"/>
        </w:tabs>
        <w:ind w:left="2880" w:hanging="360"/>
      </w:pPr>
      <w:rPr>
        <w:rFonts w:ascii="Arial" w:hAnsi="Arial" w:hint="default"/>
      </w:rPr>
    </w:lvl>
    <w:lvl w:ilvl="4">
      <w:start w:val="1"/>
      <w:numFmt w:val="bullet"/>
      <w:lvlText w:val="•"/>
      <w:lvlJc w:val="left"/>
      <w:pPr>
        <w:tabs>
          <w:tab w:val="left" w:leader="none" w:pos="3600"/>
        </w:tabs>
        <w:ind w:left="3600" w:hanging="360"/>
      </w:pPr>
      <w:rPr>
        <w:rFonts w:ascii="Arial" w:hAnsi="Arial" w:hint="default"/>
      </w:rPr>
    </w:lvl>
    <w:lvl w:ilvl="5">
      <w:start w:val="1"/>
      <w:numFmt w:val="bullet"/>
      <w:lvlText w:val="•"/>
      <w:lvlJc w:val="left"/>
      <w:pPr>
        <w:tabs>
          <w:tab w:val="left" w:leader="none" w:pos="4320"/>
        </w:tabs>
        <w:ind w:left="4320" w:hanging="360"/>
      </w:pPr>
      <w:rPr>
        <w:rFonts w:ascii="Arial" w:hAnsi="Arial" w:hint="default"/>
      </w:rPr>
    </w:lvl>
    <w:lvl w:ilvl="6">
      <w:start w:val="1"/>
      <w:numFmt w:val="bullet"/>
      <w:lvlText w:val="•"/>
      <w:lvlJc w:val="left"/>
      <w:pPr>
        <w:tabs>
          <w:tab w:val="left" w:leader="none" w:pos="5040"/>
        </w:tabs>
        <w:ind w:left="5040" w:hanging="360"/>
      </w:pPr>
      <w:rPr>
        <w:rFonts w:ascii="Arial" w:hAnsi="Arial" w:hint="default"/>
      </w:rPr>
    </w:lvl>
    <w:lvl w:ilvl="7">
      <w:start w:val="1"/>
      <w:numFmt w:val="bullet"/>
      <w:lvlText w:val="•"/>
      <w:lvlJc w:val="left"/>
      <w:pPr>
        <w:tabs>
          <w:tab w:val="left" w:leader="none" w:pos="5760"/>
        </w:tabs>
        <w:ind w:left="5760" w:hanging="360"/>
      </w:pPr>
      <w:rPr>
        <w:rFonts w:ascii="Arial" w:hAnsi="Arial" w:hint="default"/>
      </w:rPr>
    </w:lvl>
    <w:lvl w:ilvl="8">
      <w:start w:val="1"/>
      <w:numFmt w:val="bullet"/>
      <w:lvlText w:val="•"/>
      <w:lvlJc w:val="left"/>
      <w:pPr>
        <w:tabs>
          <w:tab w:val="left" w:leader="none" w:pos="6480"/>
        </w:tabs>
        <w:ind w:left="6480" w:hanging="360"/>
      </w:pPr>
      <w:rPr>
        <w:rFonts w:ascii="Arial" w:hAnsi="Arial" w:hint="default"/>
      </w:rPr>
    </w:lvl>
  </w:abstractNum>
  <w:num w:numId="1">
    <w:abstractNumId w:val="7"/>
  </w:num>
  <w:num w:numId="2">
    <w:abstractNumId w:val="6"/>
  </w:num>
  <w:num w:numId="3">
    <w:abstractNumId w:val="8"/>
  </w:num>
  <w:num w:numId="4">
    <w:abstractNumId w:val="2"/>
  </w:num>
  <w:num w:numId="5">
    <w:abstractNumId w:val="4"/>
  </w:num>
  <w:num w:numId="6">
    <w:abstractNumId w:val="5"/>
  </w:num>
  <w:num w:numId="7">
    <w:abstractNumId w:val="0"/>
  </w:num>
  <w:num w:numId="8">
    <w:abstractNumId w:val="1"/>
  </w:num>
  <w:num w:numId="9">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displayBackgroundShape/>
  <w:bordersDoNotSurroundHeader/>
  <w:bordersDoNotSurroundFooter/>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lang w:val="en-US" w:bidi="ar-SA" w:eastAsia="zh-CN"/>
      </w:rPr>
    </w:rPrDefault>
    <w:pPrDefault>
      <w:pPr/>
    </w:pPrDefault>
  </w:docDefaults>
  <w:style w:type="paragraph" w:default="1" w:styleId="style0">
    <w:name w:val="Normal"/>
    <w:next w:val="style0"/>
    <w:qFormat/>
    <w:pPr>
      <w:adjustRightInd w:val="false"/>
      <w:snapToGrid w:val="false"/>
      <w:spacing w:after="120" w:lineRule="atLeast" w:line="240"/>
      <w:ind w:firstLine="200" w:firstLineChars="200"/>
    </w:pPr>
    <w:rPr>
      <w:rFonts w:ascii="Tahoma" w:cs="Times New Roman" w:eastAsia="微软雅黑" w:hAnsi="Tahoma"/>
      <w:sz w:val="21"/>
      <w:szCs w:val="22"/>
    </w:rPr>
  </w:style>
  <w:style w:type="paragraph" w:styleId="style1">
    <w:name w:val="heading 1"/>
    <w:basedOn w:val="style0"/>
    <w:next w:val="style0"/>
    <w:link w:val="style4097"/>
    <w:qFormat/>
    <w:uiPriority w:val="9"/>
    <w:pPr>
      <w:keepNext/>
      <w:keepLines/>
      <w:numPr>
        <w:ilvl w:val="0"/>
        <w:numId w:val="1"/>
      </w:numPr>
      <w:spacing w:before="240" w:after="240" w:lineRule="auto" w:line="240"/>
      <w:ind w:firstLine="0" w:firstLineChars="0"/>
      <w:outlineLvl w:val="0"/>
    </w:pPr>
    <w:rPr>
      <w:rFonts w:ascii="微软雅黑" w:hAnsi="微软雅黑"/>
      <w:b/>
      <w:bCs/>
      <w:color w:val="ff6600"/>
      <w:kern w:val="44"/>
      <w:sz w:val="52"/>
      <w:szCs w:val="21"/>
    </w:rPr>
  </w:style>
  <w:style w:type="paragraph" w:styleId="style2">
    <w:name w:val="heading 2"/>
    <w:basedOn w:val="style0"/>
    <w:next w:val="style0"/>
    <w:link w:val="style4098"/>
    <w:qFormat/>
    <w:uiPriority w:val="9"/>
    <w:pPr>
      <w:numPr>
        <w:ilvl w:val="0"/>
        <w:numId w:val="2"/>
      </w:numPr>
      <w:spacing w:beforeLines="150" w:afterLines="50" w:lineRule="auto" w:line="240"/>
      <w:ind w:firstLine="0" w:firstLineChars="0"/>
      <w:outlineLvl w:val="1"/>
    </w:pPr>
    <w:rPr>
      <w:rFonts w:ascii="宋体" w:cs="宋体" w:hAnsi="宋体"/>
      <w:b/>
      <w:bCs/>
      <w:color w:val="ff6600"/>
      <w:sz w:val="30"/>
      <w:szCs w:val="30"/>
    </w:rPr>
  </w:style>
  <w:style w:type="paragraph" w:styleId="style3">
    <w:name w:val="heading 3"/>
    <w:basedOn w:val="style0"/>
    <w:next w:val="style0"/>
    <w:link w:val="style4101"/>
    <w:qFormat/>
    <w:uiPriority w:val="9"/>
    <w:pPr>
      <w:keepNext/>
      <w:keepLines/>
      <w:widowControl w:val="false"/>
      <w:adjustRightInd/>
      <w:snapToGrid/>
      <w:spacing w:beforeLines="50" w:afterLines="50" w:lineRule="auto" w:line="240"/>
      <w:ind w:firstLine="283" w:firstLineChars="118"/>
      <w:jc w:val="both"/>
      <w:outlineLvl w:val="2"/>
    </w:pPr>
    <w:rPr>
      <w:rFonts w:ascii="Times New Roman" w:hAnsi="Times New Roman"/>
      <w:b/>
      <w:bCs/>
      <w:color w:val="ea4604"/>
      <w:kern w:val="2"/>
      <w:sz w:val="24"/>
      <w:szCs w:val="24"/>
      <w:u w:val="single"/>
    </w:rPr>
  </w:style>
  <w:style w:type="paragraph" w:styleId="style4">
    <w:name w:val="heading 4"/>
    <w:basedOn w:val="style0"/>
    <w:next w:val="style0"/>
    <w:link w:val="style4108"/>
    <w:qFormat/>
    <w:uiPriority w:val="9"/>
    <w:pPr>
      <w:keepNext/>
      <w:keepLines/>
      <w:spacing w:before="280" w:after="290" w:lineRule="atLeast" w:line="376"/>
      <w:outlineLvl w:val="3"/>
    </w:pPr>
    <w:rPr>
      <w:rFonts w:ascii="Cambria" w:cs="宋体" w:eastAsia="宋体" w:hAnsi="Cambria"/>
      <w:b/>
      <w:bCs/>
      <w:sz w:val="28"/>
      <w:szCs w:val="28"/>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21">
    <w:name w:val="toc 3"/>
    <w:basedOn w:val="style0"/>
    <w:next w:val="style0"/>
    <w:qFormat/>
    <w:uiPriority w:val="39"/>
    <w:pPr>
      <w:ind w:left="840" w:leftChars="400"/>
    </w:pPr>
    <w:rPr/>
  </w:style>
  <w:style w:type="paragraph" w:styleId="style153">
    <w:name w:val="Balloon Text"/>
    <w:basedOn w:val="style0"/>
    <w:next w:val="style153"/>
    <w:link w:val="style4103"/>
    <w:qFormat/>
    <w:uiPriority w:val="99"/>
    <w:pPr>
      <w:spacing w:after="0"/>
    </w:pPr>
    <w:rPr>
      <w:sz w:val="18"/>
      <w:szCs w:val="18"/>
    </w:rPr>
  </w:style>
  <w:style w:type="paragraph" w:styleId="style32">
    <w:name w:val="footer"/>
    <w:basedOn w:val="style0"/>
    <w:next w:val="style32"/>
    <w:link w:val="style4100"/>
    <w:qFormat/>
    <w:uiPriority w:val="99"/>
    <w:pPr>
      <w:tabs>
        <w:tab w:val="center" w:leader="none" w:pos="4153"/>
        <w:tab w:val="right" w:leader="none" w:pos="8306"/>
      </w:tabs>
    </w:pPr>
    <w:rPr>
      <w:sz w:val="18"/>
      <w:szCs w:val="18"/>
    </w:rPr>
  </w:style>
  <w:style w:type="paragraph" w:styleId="style31">
    <w:name w:val="header"/>
    <w:basedOn w:val="style0"/>
    <w:next w:val="style31"/>
    <w:link w:val="style4099"/>
    <w:qFormat/>
    <w:uiPriority w:val="99"/>
    <w:pPr>
      <w:pBdr>
        <w:bottom w:val="single" w:sz="6" w:space="1" w:color="auto"/>
      </w:pBdr>
      <w:tabs>
        <w:tab w:val="center" w:leader="none" w:pos="4153"/>
        <w:tab w:val="right" w:leader="none" w:pos="8306"/>
      </w:tabs>
      <w:jc w:val="center"/>
    </w:pPr>
    <w:rPr>
      <w:sz w:val="18"/>
      <w:szCs w:val="18"/>
    </w:rPr>
  </w:style>
  <w:style w:type="paragraph" w:styleId="style19">
    <w:name w:val="toc 1"/>
    <w:basedOn w:val="style0"/>
    <w:next w:val="style0"/>
    <w:qFormat/>
    <w:uiPriority w:val="39"/>
    <w:pPr/>
  </w:style>
  <w:style w:type="paragraph" w:styleId="style94">
    <w:name w:val="Normal (Web)"/>
    <w:basedOn w:val="style0"/>
    <w:next w:val="style94"/>
    <w:qFormat/>
    <w:uiPriority w:val="99"/>
    <w:pPr>
      <w:adjustRightInd/>
      <w:snapToGrid/>
      <w:spacing w:before="100" w:beforeAutospacing="true" w:after="100" w:afterAutospacing="true" w:lineRule="auto" w:line="240"/>
      <w:ind w:firstLine="0" w:firstLineChars="0"/>
    </w:pPr>
    <w:rPr>
      <w:rFonts w:ascii="宋体" w:cs="宋体" w:eastAsia="宋体" w:hAnsi="宋体"/>
      <w:sz w:val="24"/>
      <w:szCs w:val="24"/>
    </w:rPr>
  </w:style>
  <w:style w:type="paragraph" w:styleId="style62">
    <w:name w:val="Title"/>
    <w:basedOn w:val="style0"/>
    <w:next w:val="style0"/>
    <w:link w:val="style4107"/>
    <w:qFormat/>
    <w:uiPriority w:val="10"/>
    <w:pPr>
      <w:spacing w:beforeLines="100" w:afterLines="50" w:lineRule="auto" w:line="420"/>
      <w:ind w:firstLine="0" w:firstLineChars="0"/>
      <w:jc w:val="center"/>
      <w:outlineLvl w:val="0"/>
    </w:pPr>
    <w:rPr>
      <w:rFonts w:ascii="Cambria" w:cs="宋体" w:eastAsia="宋体" w:hAnsi="Cambria"/>
      <w:b/>
      <w:bCs/>
      <w:sz w:val="44"/>
      <w:szCs w:val="32"/>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character" w:styleId="style85">
    <w:name w:val="Hyperlink"/>
    <w:basedOn w:val="style65"/>
    <w:next w:val="style85"/>
    <w:qFormat/>
    <w:uiPriority w:val="99"/>
    <w:rPr>
      <w:color w:val="0000ff"/>
      <w:u w:val="single"/>
    </w:rPr>
  </w:style>
  <w:style w:type="table" w:styleId="style154">
    <w:name w:val="Table Grid"/>
    <w:basedOn w:val="style105"/>
    <w:next w:val="style154"/>
    <w:qFormat/>
    <w:uiPriority w:val="59"/>
    <w:pPr/>
    <w:rPr>
      <w:rFonts w:ascii="Calibri" w:cs="Times New Roman" w:eastAsia="微软雅黑"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标题 1 Char"/>
    <w:basedOn w:val="style65"/>
    <w:next w:val="style4097"/>
    <w:link w:val="style1"/>
    <w:qFormat/>
    <w:uiPriority w:val="9"/>
    <w:rPr>
      <w:rFonts w:ascii="微软雅黑" w:cs="Times New Roman" w:eastAsia="微软雅黑" w:hAnsi="微软雅黑"/>
      <w:b/>
      <w:bCs/>
      <w:color w:val="ff6600"/>
      <w:kern w:val="44"/>
      <w:sz w:val="52"/>
      <w:szCs w:val="21"/>
    </w:rPr>
  </w:style>
  <w:style w:type="character" w:customStyle="1" w:styleId="style4098">
    <w:name w:val="标题 2 Char"/>
    <w:basedOn w:val="style65"/>
    <w:next w:val="style4098"/>
    <w:link w:val="style2"/>
    <w:qFormat/>
    <w:uiPriority w:val="9"/>
    <w:rPr>
      <w:rFonts w:ascii="宋体" w:cs="宋体" w:eastAsia="微软雅黑" w:hAnsi="宋体"/>
      <w:b/>
      <w:bCs/>
      <w:color w:val="ff6600"/>
      <w:kern w:val="0"/>
      <w:sz w:val="30"/>
      <w:szCs w:val="30"/>
    </w:rPr>
  </w:style>
  <w:style w:type="paragraph" w:styleId="style179">
    <w:name w:val="List Paragraph"/>
    <w:basedOn w:val="style0"/>
    <w:next w:val="style179"/>
    <w:qFormat/>
    <w:uiPriority w:val="99"/>
    <w:pPr>
      <w:numPr>
        <w:ilvl w:val="0"/>
        <w:numId w:val="3"/>
      </w:numPr>
      <w:spacing w:after="0" w:lineRule="auto" w:line="240"/>
      <w:ind w:firstLine="0" w:firstLineChars="0"/>
      <w:jc w:val="both"/>
    </w:pPr>
    <w:rPr>
      <w:szCs w:val="21"/>
    </w:rPr>
  </w:style>
  <w:style w:type="character" w:customStyle="1" w:styleId="style4099">
    <w:name w:val="页眉 Char"/>
    <w:basedOn w:val="style65"/>
    <w:next w:val="style4099"/>
    <w:link w:val="style31"/>
    <w:qFormat/>
    <w:uiPriority w:val="99"/>
    <w:rPr>
      <w:sz w:val="18"/>
      <w:szCs w:val="18"/>
    </w:rPr>
  </w:style>
  <w:style w:type="character" w:customStyle="1" w:styleId="style4100">
    <w:name w:val="页脚 Char"/>
    <w:basedOn w:val="style65"/>
    <w:next w:val="style4100"/>
    <w:link w:val="style32"/>
    <w:qFormat/>
    <w:uiPriority w:val="99"/>
    <w:rPr>
      <w:sz w:val="18"/>
      <w:szCs w:val="18"/>
    </w:rPr>
  </w:style>
  <w:style w:type="character" w:customStyle="1" w:styleId="style4101">
    <w:name w:val="标题 3 Char"/>
    <w:basedOn w:val="style65"/>
    <w:next w:val="style4101"/>
    <w:link w:val="style3"/>
    <w:qFormat/>
    <w:uiPriority w:val="9"/>
    <w:rPr>
      <w:rFonts w:ascii="Times New Roman" w:cs="Times New Roman" w:eastAsia="微软雅黑" w:hAnsi="Times New Roman"/>
      <w:b/>
      <w:bCs/>
      <w:color w:val="ea4604"/>
      <w:sz w:val="24"/>
      <w:szCs w:val="24"/>
      <w:u w:val="single"/>
    </w:rPr>
  </w:style>
  <w:style w:type="paragraph" w:customStyle="1" w:styleId="style4102">
    <w:name w:val="列出段落1"/>
    <w:basedOn w:val="style0"/>
    <w:next w:val="style4102"/>
    <w:qFormat/>
    <w:uiPriority w:val="34"/>
    <w:pPr>
      <w:ind w:firstLine="420"/>
    </w:pPr>
    <w:rPr/>
  </w:style>
  <w:style w:type="character" w:customStyle="1" w:styleId="style4103">
    <w:name w:val="批注框文本 Char"/>
    <w:basedOn w:val="style65"/>
    <w:next w:val="style4103"/>
    <w:link w:val="style153"/>
    <w:qFormat/>
    <w:uiPriority w:val="99"/>
    <w:rPr>
      <w:rFonts w:ascii="Tahoma" w:cs="Times New Roman" w:eastAsia="微软雅黑" w:hAnsi="Tahoma"/>
      <w:kern w:val="0"/>
      <w:sz w:val="18"/>
      <w:szCs w:val="18"/>
    </w:rPr>
  </w:style>
  <w:style w:type="paragraph" w:customStyle="1" w:styleId="style4104">
    <w:name w:val="老师标题"/>
    <w:basedOn w:val="style0"/>
    <w:next w:val="style4104"/>
    <w:qFormat/>
    <w:uiPriority w:val="99"/>
    <w:pPr>
      <w:widowControl w:val="false"/>
      <w:numPr>
        <w:ilvl w:val="0"/>
        <w:numId w:val="4"/>
      </w:numPr>
      <w:adjustRightInd/>
      <w:snapToGrid/>
      <w:spacing w:after="0"/>
      <w:jc w:val="both"/>
    </w:pPr>
    <w:rPr>
      <w:rFonts w:ascii="Arial" w:cs="Arial" w:eastAsia="宋体" w:hAnsi="Arial"/>
      <w:b/>
      <w:kern w:val="2"/>
      <w:szCs w:val="21"/>
    </w:rPr>
  </w:style>
  <w:style w:type="paragraph" w:customStyle="1" w:styleId="style4105">
    <w:name w:val="TOC 标题1"/>
    <w:basedOn w:val="style1"/>
    <w:next w:val="style0"/>
    <w:qFormat/>
    <w:uiPriority w:val="39"/>
    <w:pPr>
      <w:adjustRightInd/>
      <w:snapToGrid/>
      <w:spacing w:before="480" w:after="0" w:lineRule="auto" w:line="276"/>
      <w:outlineLvl w:val="9"/>
    </w:pPr>
    <w:rPr>
      <w:rFonts w:ascii="Cambria" w:cs="宋体" w:eastAsia="宋体" w:hAnsi="Cambria"/>
      <w:color w:val="365f91"/>
      <w:kern w:val="0"/>
      <w:sz w:val="28"/>
      <w:szCs w:val="28"/>
    </w:rPr>
  </w:style>
  <w:style w:type="table" w:customStyle="1" w:styleId="style4106">
    <w:name w:val="表格文字"/>
    <w:basedOn w:val="style105"/>
    <w:next w:val="style4106"/>
    <w:qFormat/>
    <w:uiPriority w:val="99"/>
    <w:pPr/>
    <w:rPr>
      <w:rFonts w:eastAsia="微软雅黑"/>
      <w:sz w:val="18"/>
    </w:rPr>
    <w:tblPr>
      <w:tblInd w:w="0" w:type="dxa"/>
      <w:tblCellMar>
        <w:top w:w="0" w:type="dxa"/>
        <w:left w:w="108" w:type="dxa"/>
        <w:bottom w:w="0" w:type="dxa"/>
        <w:right w:w="108" w:type="dxa"/>
      </w:tblCellMar>
    </w:tblPr>
    <w:tcPr>
      <w:tcBorders/>
    </w:tcPr>
  </w:style>
  <w:style w:type="character" w:customStyle="1" w:styleId="style4107">
    <w:name w:val="标题 Char"/>
    <w:basedOn w:val="style65"/>
    <w:next w:val="style4107"/>
    <w:link w:val="style62"/>
    <w:qFormat/>
    <w:uiPriority w:val="10"/>
    <w:rPr>
      <w:rFonts w:ascii="Cambria" w:cs="宋体" w:eastAsia="宋体" w:hAnsi="Cambria"/>
      <w:b/>
      <w:bCs/>
      <w:kern w:val="0"/>
      <w:sz w:val="44"/>
      <w:szCs w:val="32"/>
    </w:rPr>
  </w:style>
  <w:style w:type="character" w:customStyle="1" w:styleId="style4108">
    <w:name w:val="标题 4 Char"/>
    <w:basedOn w:val="style65"/>
    <w:next w:val="style4108"/>
    <w:link w:val="style4"/>
    <w:qFormat/>
    <w:uiPriority w:val="9"/>
    <w:rPr>
      <w:rFonts w:ascii="Cambria" w:cs="宋体" w:eastAsia="宋体" w:hAnsi="Cambria"/>
      <w:b/>
      <w:bCs/>
      <w:kern w:val="0"/>
      <w:sz w:val="28"/>
      <w:szCs w:val="28"/>
    </w:rPr>
  </w:style>
  <w:style w:type="character" w:customStyle="1" w:styleId="style4109">
    <w:name w:val="apple-converted-space"/>
    <w:basedOn w:val="style65"/>
    <w:next w:val="style4109"/>
    <w:qFormat/>
  </w:style>
  <w:style w:type="paragraph" w:customStyle="1" w:styleId="style4110">
    <w:name w:val="答案"/>
    <w:basedOn w:val="style0"/>
    <w:next w:val="style4110"/>
    <w:qFormat/>
    <w:pPr>
      <w:widowControl w:val="false"/>
      <w:adjustRightInd/>
      <w:snapToGrid/>
      <w:spacing w:beforeLines="50" w:afterLines="50" w:lineRule="auto" w:line="240"/>
      <w:ind w:left="567" w:leftChars="269" w:hanging="2" w:firstLineChars="0"/>
      <w:jc w:val="both"/>
    </w:pPr>
    <w:rPr>
      <w:rFonts w:ascii="楷体" w:cs="宋体" w:eastAsia="楷体" w:hAnsi="楷体"/>
      <w:kern w:val="2"/>
      <w:sz w:val="24"/>
      <w:szCs w:val="24"/>
    </w:rPr>
  </w:style>
</w:styles>
</file>

<file path=word/_rels/document.xml.rels><?xml version="1.0" encoding="UTF-8"?>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19.png"/><Relationship Id="rId41" Type="http://schemas.openxmlformats.org/officeDocument/2006/relationships/image" Target="media/image17.jpeg"/><Relationship Id="rId44" Type="http://schemas.openxmlformats.org/officeDocument/2006/relationships/image" Target="media/image20.png"/><Relationship Id="rId43" Type="http://schemas.openxmlformats.org/officeDocument/2006/relationships/image" Target="media/image18.jpeg"/><Relationship Id="rId46" Type="http://schemas.openxmlformats.org/officeDocument/2006/relationships/image" Target="media/image22.png"/><Relationship Id="rId45"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6.png"/><Relationship Id="rId48" Type="http://schemas.openxmlformats.org/officeDocument/2006/relationships/header" Target="header7.xml"/><Relationship Id="rId47" Type="http://schemas.openxmlformats.org/officeDocument/2006/relationships/header" Target="header6.xml"/><Relationship Id="rId49" Type="http://schemas.openxmlformats.org/officeDocument/2006/relationships/footer" Target="footer8.xml"/><Relationship Id="rId5" Type="http://schemas.openxmlformats.org/officeDocument/2006/relationships/image" Target="media/image3.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73" Type="http://schemas.openxmlformats.org/officeDocument/2006/relationships/fontTable" Target="fontTable.xml"/><Relationship Id="rId72" Type="http://schemas.openxmlformats.org/officeDocument/2006/relationships/styles" Target="styles.xml"/><Relationship Id="rId31" Type="http://schemas.openxmlformats.org/officeDocument/2006/relationships/image" Target="media/image13.jpeg"/><Relationship Id="rId75" Type="http://schemas.openxmlformats.org/officeDocument/2006/relationships/theme" Target="theme/theme1.xml"/><Relationship Id="rId30" Type="http://schemas.openxmlformats.org/officeDocument/2006/relationships/image" Target="media/image12.jpeg"/><Relationship Id="rId74" Type="http://schemas.openxmlformats.org/officeDocument/2006/relationships/settings" Target="settings.xml"/><Relationship Id="rId33" Type="http://schemas.openxmlformats.org/officeDocument/2006/relationships/image" Target="media/image14.png"/><Relationship Id="rId77" Type="http://schemas.openxmlformats.org/officeDocument/2006/relationships/customXml" Target="../customXml/item2.xml"/><Relationship Id="rId32" Type="http://schemas.openxmlformats.org/officeDocument/2006/relationships/image" Target="media/image13.png"/><Relationship Id="rId7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71" Type="http://schemas.openxmlformats.org/officeDocument/2006/relationships/header" Target="header28.xml"/><Relationship Id="rId70" Type="http://schemas.openxmlformats.org/officeDocument/2006/relationships/footer" Target="footer27.xml"/><Relationship Id="rId37" Type="http://schemas.openxmlformats.org/officeDocument/2006/relationships/image" Target="media/image14.jpeg"/><Relationship Id="rId36" Type="http://schemas.openxmlformats.org/officeDocument/2006/relationships/image" Target="media/image17.png"/><Relationship Id="rId39" Type="http://schemas.openxmlformats.org/officeDocument/2006/relationships/image" Target="media/image16.jpeg"/><Relationship Id="rId38" Type="http://schemas.openxmlformats.org/officeDocument/2006/relationships/image" Target="media/image15.jpeg"/><Relationship Id="rId62" Type="http://schemas.openxmlformats.org/officeDocument/2006/relationships/footer" Target="footer21.xml"/><Relationship Id="rId61" Type="http://schemas.openxmlformats.org/officeDocument/2006/relationships/footer" Target="footer20.xml"/><Relationship Id="rId20" Type="http://schemas.openxmlformats.org/officeDocument/2006/relationships/image" Target="media/image10.jpeg"/><Relationship Id="rId64" Type="http://schemas.openxmlformats.org/officeDocument/2006/relationships/footer" Target="footer23.xml"/><Relationship Id="rId63" Type="http://schemas.openxmlformats.org/officeDocument/2006/relationships/header" Target="header22.xml"/><Relationship Id="rId22" Type="http://schemas.openxmlformats.org/officeDocument/2006/relationships/header" Target="header2.xml"/><Relationship Id="rId66" Type="http://schemas.openxmlformats.org/officeDocument/2006/relationships/image" Target="media/image20.jpeg"/><Relationship Id="rId21" Type="http://schemas.openxmlformats.org/officeDocument/2006/relationships/header" Target="header1.xml"/><Relationship Id="rId65" Type="http://schemas.openxmlformats.org/officeDocument/2006/relationships/image" Target="media/image19.jpeg"/><Relationship Id="rId24" Type="http://schemas.openxmlformats.org/officeDocument/2006/relationships/footer" Target="footer4.xml"/><Relationship Id="rId68" Type="http://schemas.openxmlformats.org/officeDocument/2006/relationships/header" Target="header25.xml"/><Relationship Id="rId23" Type="http://schemas.openxmlformats.org/officeDocument/2006/relationships/footer" Target="footer3.xml"/><Relationship Id="rId67" Type="http://schemas.openxmlformats.org/officeDocument/2006/relationships/header" Target="header24.xml"/><Relationship Id="rId60" Type="http://schemas.openxmlformats.org/officeDocument/2006/relationships/header" Target="header19.xml"/><Relationship Id="rId26" Type="http://schemas.openxmlformats.org/officeDocument/2006/relationships/image" Target="media/image11.png"/><Relationship Id="rId25" Type="http://schemas.openxmlformats.org/officeDocument/2006/relationships/header" Target="header5.xml"/><Relationship Id="rId69" Type="http://schemas.openxmlformats.org/officeDocument/2006/relationships/footer" Target="footer26.xml"/><Relationship Id="rId28" Type="http://schemas.openxmlformats.org/officeDocument/2006/relationships/image" Target="media/image11.jpeg"/><Relationship Id="rId27" Type="http://schemas.openxmlformats.org/officeDocument/2006/relationships/image" Target="media/image12.png"/><Relationship Id="rId29" Type="http://schemas.openxmlformats.org/officeDocument/2006/relationships/image" Target="media/image2.emf"/><Relationship Id="rId51" Type="http://schemas.openxmlformats.org/officeDocument/2006/relationships/header" Target="header10.xml"/><Relationship Id="rId50" Type="http://schemas.openxmlformats.org/officeDocument/2006/relationships/footer" Target="footer9.xml"/><Relationship Id="rId53" Type="http://schemas.openxmlformats.org/officeDocument/2006/relationships/header" Target="header12.xml"/><Relationship Id="rId52" Type="http://schemas.openxmlformats.org/officeDocument/2006/relationships/footer" Target="footer11.xml"/><Relationship Id="rId11" Type="http://schemas.openxmlformats.org/officeDocument/2006/relationships/image" Target="media/image7.png"/><Relationship Id="rId55" Type="http://schemas.openxmlformats.org/officeDocument/2006/relationships/footer" Target="footer14.xml"/><Relationship Id="rId10" Type="http://schemas.openxmlformats.org/officeDocument/2006/relationships/image" Target="media/image4.jpeg"/><Relationship Id="rId54" Type="http://schemas.openxmlformats.org/officeDocument/2006/relationships/header" Target="header13.xml"/><Relationship Id="rId13" Type="http://schemas.openxmlformats.org/officeDocument/2006/relationships/image" Target="media/image8.png"/><Relationship Id="rId57" Type="http://schemas.openxmlformats.org/officeDocument/2006/relationships/header" Target="header16.xml"/><Relationship Id="rId12" Type="http://schemas.openxmlformats.org/officeDocument/2006/relationships/image" Target="media/image5.jpeg"/><Relationship Id="rId56" Type="http://schemas.openxmlformats.org/officeDocument/2006/relationships/footer" Target="footer15.xml"/><Relationship Id="rId15" Type="http://schemas.openxmlformats.org/officeDocument/2006/relationships/image" Target="media/image6.jpeg"/><Relationship Id="rId59" Type="http://schemas.openxmlformats.org/officeDocument/2006/relationships/header" Target="header18.xml"/><Relationship Id="rId14" Type="http://schemas.openxmlformats.org/officeDocument/2006/relationships/image" Target="media/image9.png"/><Relationship Id="rId58" Type="http://schemas.openxmlformats.org/officeDocument/2006/relationships/footer" Target="footer17.xml"/><Relationship Id="rId17" Type="http://schemas.openxmlformats.org/officeDocument/2006/relationships/image" Target="media/image8.jpeg"/><Relationship Id="rId16" Type="http://schemas.openxmlformats.org/officeDocument/2006/relationships/image" Target="media/image7.jpeg"/><Relationship Id="rId19" Type="http://schemas.openxmlformats.org/officeDocument/2006/relationships/image" Target="media/image10.png"/><Relationship Id="rId1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E18F9A-5BCD-4B70-B014-4C5BE67A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Words>8128</Words>
  <Pages>19</Pages>
  <Characters>8812</Characters>
  <Application>WPS Office</Application>
  <DocSecurity>0</DocSecurity>
  <Paragraphs>664</Paragraphs>
  <ScaleCrop>false</ScaleCrop>
  <Company>微软中国</Company>
  <LinksUpToDate>false</LinksUpToDate>
  <CharactersWithSpaces>8929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2018-04-24T01:38:00Z</dcterms:created>
  <dc:creator>微软用户</dc:creator>
  <lastModifiedBy>BLA-AL00</lastModifiedBy>
  <lastPrinted>2017-03-10T05:32:00Z</lastPrinted>
  <dcterms:modified xsi:type="dcterms:W3CDTF">2019-02-15T07:44:27Z</dcterms:modified>
  <revision>24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